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宋体" w:eastAsia="方正小标宋简体" w:cs="宋体"/>
          <w:bCs/>
          <w:sz w:val="40"/>
          <w:szCs w:val="40"/>
        </w:rPr>
      </w:pPr>
    </w:p>
    <w:p>
      <w:pPr>
        <w:spacing w:line="640" w:lineRule="exact"/>
        <w:jc w:val="center"/>
        <w:outlineLvl w:val="0"/>
        <w:rPr>
          <w:rFonts w:hint="eastAsia" w:ascii="方正小标宋简体" w:hAnsi="宋体" w:eastAsia="方正小标宋简体" w:cs="宋体"/>
          <w:b/>
          <w:bCs/>
          <w:sz w:val="40"/>
          <w:szCs w:val="40"/>
        </w:rPr>
      </w:pPr>
      <w:bookmarkStart w:id="0" w:name="_Toc456337986"/>
      <w:r>
        <w:rPr>
          <w:rFonts w:hint="eastAsia" w:ascii="方正小标宋简体" w:hAnsi="宋体" w:eastAsia="方正小标宋简体" w:cs="宋体"/>
          <w:b/>
          <w:bCs/>
          <w:sz w:val="40"/>
          <w:szCs w:val="40"/>
        </w:rPr>
        <w:t>沈阳市沈北新区国民经济和社会发展</w:t>
      </w:r>
      <w:bookmarkEnd w:id="0"/>
    </w:p>
    <w:p>
      <w:pPr>
        <w:spacing w:line="640" w:lineRule="exact"/>
        <w:jc w:val="center"/>
        <w:rPr>
          <w:rFonts w:hint="eastAsia" w:ascii="方正小标宋简体" w:hAnsi="宋体" w:eastAsia="方正小标宋简体" w:cs="宋体"/>
          <w:bCs/>
          <w:sz w:val="40"/>
          <w:szCs w:val="40"/>
        </w:rPr>
      </w:pPr>
      <w:r>
        <w:rPr>
          <w:rFonts w:hint="eastAsia" w:ascii="方正小标宋简体" w:hAnsi="宋体" w:eastAsia="方正小标宋简体" w:cs="宋体"/>
          <w:b/>
          <w:bCs/>
          <w:sz w:val="40"/>
          <w:szCs w:val="40"/>
        </w:rPr>
        <w:t>第十三个五年规划纲要</w:t>
      </w:r>
    </w:p>
    <w:p>
      <w:pPr>
        <w:spacing w:line="640" w:lineRule="exact"/>
        <w:jc w:val="center"/>
        <w:rPr>
          <w:rFonts w:hint="eastAsia" w:ascii="方正小标宋简体" w:hAnsi="黑体" w:eastAsia="方正小标宋简体" w:cs="黑体"/>
          <w:sz w:val="40"/>
          <w:szCs w:val="40"/>
        </w:rPr>
      </w:pPr>
    </w:p>
    <w:p>
      <w:pPr>
        <w:spacing w:line="320" w:lineRule="exact"/>
        <w:jc w:val="center"/>
        <w:rPr>
          <w:rFonts w:hint="eastAsia" w:ascii="黑体" w:hAnsi="宋体" w:eastAsia="黑体" w:cs="黑体"/>
          <w:sz w:val="30"/>
          <w:szCs w:val="30"/>
        </w:rPr>
      </w:pPr>
      <w:bookmarkStart w:id="1" w:name="_Toc443378613"/>
      <w:bookmarkStart w:id="2" w:name="_Toc445880847"/>
      <w:r>
        <w:rPr>
          <w:rFonts w:hint="eastAsia" w:ascii="黑体" w:hAnsi="宋体" w:eastAsia="黑体" w:cs="黑体"/>
          <w:sz w:val="30"/>
          <w:szCs w:val="30"/>
        </w:rPr>
        <w:t>前  言</w:t>
      </w:r>
      <w:bookmarkEnd w:id="1"/>
      <w:bookmarkEnd w:id="2"/>
    </w:p>
    <w:p>
      <w:pPr>
        <w:spacing w:line="320" w:lineRule="exact"/>
        <w:ind w:firstLine="420" w:firstLineChars="200"/>
        <w:rPr>
          <w:rFonts w:hint="eastAsia" w:ascii="宋体" w:hAnsi="宋体" w:cs="仿宋"/>
          <w:szCs w:val="21"/>
        </w:rPr>
      </w:pPr>
      <w:r>
        <w:rPr>
          <w:rFonts w:hint="eastAsia" w:ascii="宋体" w:hAnsi="宋体" w:cs="仿宋"/>
          <w:szCs w:val="21"/>
        </w:rPr>
        <w:t>“十三五”时期是沈北全面建成小康社会的决胜时期，是全面创新改革的攻坚时期，是协调快速发展的关键时期。在发展环境错综复杂，机遇与挑战并存的大背景下，立足沈北实际，科学谋划未来五年的发展思路和目标，对于沈北适应和引领发展新常态，开创改革发展新局面，全面建成小康社会具有重要意义。</w:t>
      </w:r>
    </w:p>
    <w:p>
      <w:pPr>
        <w:spacing w:line="320" w:lineRule="exact"/>
        <w:jc w:val="center"/>
        <w:rPr>
          <w:rFonts w:hint="eastAsia" w:ascii="黑体" w:hAnsi="宋体" w:eastAsia="黑体" w:cs="黑体"/>
          <w:sz w:val="30"/>
          <w:szCs w:val="30"/>
        </w:rPr>
      </w:pPr>
      <w:bookmarkStart w:id="3" w:name="_Toc443378614"/>
      <w:bookmarkStart w:id="4" w:name="_Toc445880848"/>
      <w:r>
        <w:rPr>
          <w:rFonts w:hint="eastAsia" w:ascii="黑体" w:hAnsi="宋体" w:eastAsia="黑体" w:cs="黑体"/>
          <w:sz w:val="30"/>
          <w:szCs w:val="30"/>
        </w:rPr>
        <w:t>第一章 规划背景</w:t>
      </w:r>
      <w:bookmarkEnd w:id="3"/>
      <w:bookmarkEnd w:id="4"/>
    </w:p>
    <w:p>
      <w:pPr>
        <w:spacing w:line="320" w:lineRule="exact"/>
        <w:jc w:val="center"/>
        <w:rPr>
          <w:rFonts w:hint="eastAsia" w:ascii="黑体" w:hAnsi="宋体" w:eastAsia="黑体" w:cs="黑体"/>
          <w:sz w:val="32"/>
          <w:szCs w:val="32"/>
        </w:rPr>
      </w:pPr>
    </w:p>
    <w:p>
      <w:pPr>
        <w:spacing w:line="320" w:lineRule="exact"/>
        <w:jc w:val="center"/>
        <w:outlineLvl w:val="1"/>
        <w:rPr>
          <w:rFonts w:hint="eastAsia" w:ascii="黑体" w:hAnsi="宋体" w:eastAsia="黑体" w:cs="仿宋"/>
          <w:sz w:val="24"/>
        </w:rPr>
      </w:pPr>
      <w:bookmarkStart w:id="5" w:name="_Toc443378615"/>
      <w:r>
        <w:rPr>
          <w:rFonts w:hint="eastAsia" w:ascii="黑体" w:hAnsi="宋体" w:eastAsia="黑体" w:cs="楷体"/>
          <w:bCs/>
          <w:sz w:val="24"/>
        </w:rPr>
        <w:t>第一节 “十二五”时期的主要成就</w:t>
      </w:r>
      <w:bookmarkEnd w:id="5"/>
    </w:p>
    <w:p>
      <w:pPr>
        <w:spacing w:line="320" w:lineRule="exact"/>
        <w:ind w:firstLine="420" w:firstLineChars="200"/>
        <w:rPr>
          <w:rFonts w:hint="eastAsia" w:ascii="宋体" w:hAnsi="宋体" w:cs="仿宋"/>
          <w:szCs w:val="21"/>
        </w:rPr>
      </w:pPr>
      <w:r>
        <w:rPr>
          <w:rFonts w:hint="eastAsia" w:ascii="宋体" w:hAnsi="宋体" w:cs="仿宋"/>
          <w:szCs w:val="21"/>
        </w:rPr>
        <w:t>“十二五”时期沈北经济社会发展取得了很大成绩，主要表现：</w:t>
      </w:r>
    </w:p>
    <w:p>
      <w:pPr>
        <w:spacing w:line="320" w:lineRule="exact"/>
        <w:ind w:firstLine="422" w:firstLineChars="200"/>
        <w:outlineLvl w:val="2"/>
        <w:rPr>
          <w:rFonts w:hint="eastAsia" w:ascii="宋体" w:hAnsi="宋体" w:cs="黑体"/>
          <w:b/>
          <w:szCs w:val="21"/>
        </w:rPr>
      </w:pPr>
      <w:bookmarkStart w:id="6" w:name="_Toc443378616"/>
      <w:r>
        <w:rPr>
          <w:rFonts w:hint="eastAsia" w:ascii="宋体" w:hAnsi="宋体" w:cs="黑体"/>
          <w:b/>
          <w:szCs w:val="21"/>
        </w:rPr>
        <w:t>一、经济实力稳步增强</w:t>
      </w:r>
      <w:bookmarkEnd w:id="6"/>
    </w:p>
    <w:p>
      <w:pPr>
        <w:spacing w:line="320" w:lineRule="exact"/>
        <w:ind w:firstLine="420" w:firstLineChars="200"/>
        <w:rPr>
          <w:rFonts w:hint="eastAsia" w:ascii="宋体" w:hAnsi="宋体" w:cs="仿宋"/>
          <w:szCs w:val="21"/>
        </w:rPr>
      </w:pPr>
      <w:r>
        <w:rPr>
          <w:rFonts w:hint="eastAsia" w:ascii="宋体" w:hAnsi="宋体" w:cs="仿宋"/>
          <w:szCs w:val="21"/>
        </w:rPr>
        <w:t>经济总量实现稳步增长，到2015年，沈北新区地区生产总值（GDP）实现422亿元，规模以上工业总产值实现1159.4亿元，服务业增加值实现74.1亿元，一般公共预算收入实现26.7亿元，五年固定资产投资累计完成800亿元，辉山乳品城（一期）、海尔冰箱、五洲龙新能源汽车、沙溪国际酒店用品城、雨润农副产品交易中心、方特欢乐世界、东北总部基地等一批规模大、效益好的项目建成运营，使沈北成为沈阳市重要的产业发展空间和经济增长极。</w:t>
      </w:r>
    </w:p>
    <w:p>
      <w:pPr>
        <w:spacing w:line="320" w:lineRule="exact"/>
        <w:ind w:firstLine="422" w:firstLineChars="200"/>
        <w:outlineLvl w:val="2"/>
        <w:rPr>
          <w:rFonts w:hint="eastAsia" w:ascii="宋体" w:hAnsi="宋体" w:cs="黑体"/>
          <w:b/>
          <w:szCs w:val="21"/>
        </w:rPr>
      </w:pPr>
      <w:bookmarkStart w:id="7" w:name="_Toc443378617"/>
      <w:r>
        <w:rPr>
          <w:rFonts w:hint="eastAsia" w:ascii="宋体" w:hAnsi="宋体" w:cs="黑体"/>
          <w:b/>
          <w:szCs w:val="21"/>
        </w:rPr>
        <w:t>二、结构调整成果突出</w:t>
      </w:r>
      <w:bookmarkEnd w:id="7"/>
    </w:p>
    <w:p>
      <w:pPr>
        <w:spacing w:line="320" w:lineRule="exact"/>
        <w:ind w:firstLine="422" w:firstLineChars="200"/>
        <w:rPr>
          <w:rFonts w:hint="eastAsia" w:ascii="宋体" w:hAnsi="宋体" w:cs="仿宋"/>
          <w:szCs w:val="21"/>
        </w:rPr>
      </w:pPr>
      <w:r>
        <w:rPr>
          <w:rFonts w:hint="eastAsia" w:ascii="宋体" w:hAnsi="宋体" w:cs="仿宋"/>
          <w:b/>
          <w:bCs/>
          <w:szCs w:val="21"/>
        </w:rPr>
        <w:t>对外开放成效显著。</w:t>
      </w:r>
      <w:r>
        <w:rPr>
          <w:rFonts w:hint="eastAsia" w:ascii="宋体" w:hAnsi="宋体" w:cs="仿宋"/>
          <w:szCs w:val="21"/>
        </w:rPr>
        <w:t>辉山经济区晋升为国家级开发区，引进外资、出口等对外开放工作提高到新的水平，五年累计引进外资28.1亿美元、出口26.6亿美元。</w:t>
      </w:r>
      <w:r>
        <w:rPr>
          <w:rFonts w:hint="eastAsia" w:ascii="宋体" w:hAnsi="宋体" w:cs="仿宋"/>
          <w:b/>
          <w:bCs/>
          <w:szCs w:val="21"/>
        </w:rPr>
        <w:t>现代农业发展取得新进展。</w:t>
      </w:r>
      <w:r>
        <w:rPr>
          <w:rFonts w:hint="eastAsia" w:ascii="宋体" w:hAnsi="宋体" w:cs="仿宋"/>
          <w:szCs w:val="21"/>
        </w:rPr>
        <w:t>到2015年农村土地流转率达到74%，通过土地流转促进了农业规模化经营和现代农业发展，预计2015年农业增加值达到32.2亿元。</w:t>
      </w:r>
      <w:r>
        <w:rPr>
          <w:rFonts w:hint="eastAsia" w:ascii="宋体" w:hAnsi="宋体" w:cs="仿宋"/>
          <w:b/>
          <w:bCs/>
          <w:szCs w:val="21"/>
        </w:rPr>
        <w:t>新兴工业发展取得新成果。</w:t>
      </w:r>
      <w:r>
        <w:rPr>
          <w:rFonts w:hint="eastAsia" w:ascii="宋体" w:hAnsi="宋体" w:cs="仿宋"/>
          <w:szCs w:val="21"/>
        </w:rPr>
        <w:t>预计2015年新兴工业产值达到460亿元，占全区工业总产值的40%。</w:t>
      </w:r>
      <w:r>
        <w:rPr>
          <w:rFonts w:hint="eastAsia" w:ascii="宋体" w:hAnsi="宋体" w:cs="仿宋"/>
          <w:b/>
          <w:bCs/>
          <w:szCs w:val="21"/>
        </w:rPr>
        <w:t>服务业发展取得新突破</w:t>
      </w:r>
      <w:r>
        <w:rPr>
          <w:rFonts w:hint="eastAsia" w:ascii="宋体" w:hAnsi="宋体" w:cs="仿宋"/>
          <w:szCs w:val="21"/>
        </w:rPr>
        <w:t>。旅游、商贸等产业快速增长，房地产业尽管下降但仍保持较大规模，预计2015年社会消费品零售总额实现96.9亿元，五年年均增长12.5%。五年来沈北新区经济结构发生了深刻变化，根本改变了房地产一业独大的格局，工业等产业对财政收入的贡献率由2010年的不足30%提高到2015年的60%左右，房地产对财政的贡献率下降到40%左右，全面提高了经济发展的协调性和可持续性。</w:t>
      </w:r>
    </w:p>
    <w:p>
      <w:pPr>
        <w:spacing w:line="320" w:lineRule="exact"/>
        <w:ind w:firstLine="422" w:firstLineChars="200"/>
        <w:outlineLvl w:val="2"/>
        <w:rPr>
          <w:rFonts w:hint="eastAsia" w:ascii="宋体" w:hAnsi="宋体" w:cs="黑体"/>
          <w:b/>
          <w:szCs w:val="21"/>
        </w:rPr>
      </w:pPr>
      <w:bookmarkStart w:id="8" w:name="_Toc443378618"/>
      <w:r>
        <w:rPr>
          <w:rFonts w:hint="eastAsia" w:ascii="宋体" w:hAnsi="宋体" w:cs="黑体"/>
          <w:b/>
          <w:szCs w:val="21"/>
        </w:rPr>
        <w:t>三、发展空间不断优化</w:t>
      </w:r>
      <w:bookmarkEnd w:id="8"/>
    </w:p>
    <w:p>
      <w:pPr>
        <w:spacing w:line="320" w:lineRule="exact"/>
        <w:ind w:firstLine="420" w:firstLineChars="200"/>
        <w:rPr>
          <w:rFonts w:hint="eastAsia" w:ascii="宋体" w:hAnsi="宋体" w:cs="仿宋"/>
          <w:szCs w:val="21"/>
        </w:rPr>
      </w:pPr>
      <w:r>
        <w:rPr>
          <w:rFonts w:hint="eastAsia" w:ascii="宋体" w:hAnsi="宋体" w:cs="仿宋"/>
          <w:szCs w:val="21"/>
        </w:rPr>
        <w:t>根据沈北实际和宏观经济发展趋势将全区划定为八个经济区，进一步明确了各经济区的主导产业和功能定位，优化了项目建设的空间布局，提高了产业集聚发展的效应，同时，加强了基础设施建设和生态环境的保护。蒲河生态经济带、沈康现代农业示范带和辽河流域已经成为沈北产业发展和旅游休闲重点区域。</w:t>
      </w:r>
    </w:p>
    <w:p>
      <w:pPr>
        <w:spacing w:line="320" w:lineRule="exact"/>
        <w:ind w:firstLine="422" w:firstLineChars="200"/>
        <w:outlineLvl w:val="2"/>
        <w:rPr>
          <w:rFonts w:hint="eastAsia" w:ascii="宋体" w:hAnsi="宋体" w:cs="黑体"/>
          <w:b/>
          <w:szCs w:val="21"/>
        </w:rPr>
      </w:pPr>
      <w:bookmarkStart w:id="9" w:name="_Toc443378619"/>
      <w:r>
        <w:rPr>
          <w:rFonts w:hint="eastAsia" w:ascii="宋体" w:hAnsi="宋体" w:cs="黑体"/>
          <w:b/>
          <w:szCs w:val="21"/>
        </w:rPr>
        <w:t>四、城乡功能更加完善</w:t>
      </w:r>
      <w:bookmarkEnd w:id="9"/>
    </w:p>
    <w:p>
      <w:pPr>
        <w:spacing w:line="320" w:lineRule="exact"/>
        <w:ind w:firstLine="420" w:firstLineChars="200"/>
        <w:rPr>
          <w:rFonts w:hint="eastAsia" w:ascii="宋体" w:hAnsi="宋体" w:cs="仿宋"/>
          <w:szCs w:val="21"/>
        </w:rPr>
      </w:pPr>
      <w:r>
        <w:rPr>
          <w:rFonts w:hint="eastAsia" w:ascii="宋体" w:hAnsi="宋体" w:cs="仿宋"/>
          <w:szCs w:val="21"/>
        </w:rPr>
        <w:t>五年累计建设道路380公里，“八横十纵”主干路网已基本完成。建设供水厂1个，电力工程35项，大型供热设施1个。新开通公交线路16条。新建和整合视频监控探头4000个。开展了65个村的宜居乡村建设，其中15个村已全部完成。</w:t>
      </w:r>
    </w:p>
    <w:p>
      <w:pPr>
        <w:spacing w:line="320" w:lineRule="exact"/>
        <w:ind w:firstLine="422" w:firstLineChars="200"/>
        <w:outlineLvl w:val="2"/>
        <w:rPr>
          <w:rFonts w:hint="eastAsia" w:ascii="宋体" w:hAnsi="宋体" w:cs="黑体"/>
          <w:b/>
          <w:szCs w:val="21"/>
        </w:rPr>
      </w:pPr>
      <w:bookmarkStart w:id="10" w:name="_Toc443378620"/>
    </w:p>
    <w:p>
      <w:pPr>
        <w:spacing w:line="320" w:lineRule="exact"/>
        <w:ind w:firstLine="422" w:firstLineChars="200"/>
        <w:outlineLvl w:val="2"/>
        <w:rPr>
          <w:rFonts w:hint="eastAsia" w:ascii="宋体" w:hAnsi="宋体" w:cs="黑体"/>
          <w:b/>
          <w:szCs w:val="21"/>
        </w:rPr>
      </w:pPr>
    </w:p>
    <w:p>
      <w:pPr>
        <w:spacing w:line="320" w:lineRule="exact"/>
        <w:jc w:val="center"/>
        <w:rPr>
          <w:rFonts w:hint="eastAsia" w:ascii="宋体" w:hAnsi="宋体" w:cs="宋体"/>
          <w:b/>
          <w:bCs/>
          <w:szCs w:val="21"/>
        </w:rPr>
      </w:pPr>
      <w:r>
        <w:rPr>
          <w:rFonts w:hint="eastAsia" w:ascii="宋体" w:hAnsi="宋体" w:cs="仿宋"/>
          <w:szCs w:val="21"/>
        </w:rPr>
        <w:drawing>
          <wp:anchor distT="0" distB="0" distL="114300" distR="114300" simplePos="0" relativeHeight="251664384" behindDoc="0" locked="0" layoutInCell="1" allowOverlap="1">
            <wp:simplePos x="0" y="0"/>
            <wp:positionH relativeFrom="column">
              <wp:posOffset>245745</wp:posOffset>
            </wp:positionH>
            <wp:positionV relativeFrom="paragraph">
              <wp:posOffset>198120</wp:posOffset>
            </wp:positionV>
            <wp:extent cx="5267325" cy="3228975"/>
            <wp:effectExtent l="0" t="0" r="9525" b="9525"/>
            <wp:wrapTopAndBottom/>
            <wp:docPr id="6" name="图片 22" descr="规划用主干路网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 descr="规划用主干路网图"/>
                    <pic:cNvPicPr>
                      <a:picLocks noChangeAspect="1"/>
                    </pic:cNvPicPr>
                  </pic:nvPicPr>
                  <pic:blipFill>
                    <a:blip r:embed="rId6"/>
                    <a:stretch>
                      <a:fillRect/>
                    </a:stretch>
                  </pic:blipFill>
                  <pic:spPr>
                    <a:xfrm>
                      <a:off x="0" y="0"/>
                      <a:ext cx="5267325" cy="3228975"/>
                    </a:xfrm>
                    <a:prstGeom prst="rect">
                      <a:avLst/>
                    </a:prstGeom>
                    <a:noFill/>
                    <a:ln>
                      <a:noFill/>
                    </a:ln>
                  </pic:spPr>
                </pic:pic>
              </a:graphicData>
            </a:graphic>
          </wp:anchor>
        </w:drawing>
      </w:r>
    </w:p>
    <w:p>
      <w:pPr>
        <w:spacing w:line="320" w:lineRule="exact"/>
        <w:jc w:val="center"/>
        <w:rPr>
          <w:rFonts w:hint="eastAsia" w:ascii="宋体" w:hAnsi="宋体" w:cs="宋体"/>
          <w:b/>
          <w:bCs/>
          <w:szCs w:val="21"/>
        </w:rPr>
      </w:pPr>
      <w:r>
        <w:rPr>
          <w:rFonts w:hint="eastAsia" w:ascii="宋体" w:hAnsi="宋体" w:cs="宋体"/>
          <w:b/>
          <w:bCs/>
          <w:szCs w:val="21"/>
        </w:rPr>
        <w:t>图1 沈北主干路网图</w:t>
      </w:r>
    </w:p>
    <w:p>
      <w:pPr>
        <w:spacing w:line="320" w:lineRule="exact"/>
        <w:ind w:firstLine="422" w:firstLineChars="200"/>
        <w:outlineLvl w:val="2"/>
        <w:rPr>
          <w:rFonts w:hint="eastAsia" w:ascii="宋体" w:hAnsi="宋体" w:cs="黑体"/>
          <w:b/>
          <w:szCs w:val="21"/>
        </w:rPr>
      </w:pPr>
      <w:r>
        <w:rPr>
          <w:rFonts w:hint="eastAsia" w:ascii="宋体" w:hAnsi="宋体" w:cs="黑体"/>
          <w:b/>
          <w:szCs w:val="21"/>
        </w:rPr>
        <w:t>五、生态环境大幅提升</w:t>
      </w:r>
      <w:bookmarkEnd w:id="10"/>
    </w:p>
    <w:p>
      <w:pPr>
        <w:spacing w:line="320" w:lineRule="exact"/>
        <w:ind w:firstLine="420" w:firstLineChars="200"/>
        <w:rPr>
          <w:rFonts w:hint="eastAsia" w:ascii="宋体" w:hAnsi="宋体" w:cs="仿宋"/>
          <w:szCs w:val="21"/>
        </w:rPr>
      </w:pPr>
      <w:r>
        <w:rPr>
          <w:rFonts w:hint="eastAsia" w:ascii="宋体" w:hAnsi="宋体" w:cs="仿宋"/>
          <w:szCs w:val="21"/>
        </w:rPr>
        <w:t>成功创建国家生态区。完成了蒲河和辽河的综合治理。累计新增绿地面积1004公顷，建成区绿化覆盖率51.9%，全区城镇人均公共绿地面积由53.2平方米增加到67.7平方米。新建污水处理厂7座。消除两个重大污染源，4家单位实现煤改清洁能源，拆除小供暖设施7个，万元GDP能耗等各项环保指标均达到上级要求。</w:t>
      </w:r>
    </w:p>
    <w:p>
      <w:pPr>
        <w:spacing w:line="320" w:lineRule="exact"/>
        <w:ind w:firstLine="472" w:firstLineChars="224"/>
        <w:outlineLvl w:val="2"/>
        <w:rPr>
          <w:rFonts w:hint="eastAsia" w:ascii="宋体" w:hAnsi="宋体" w:cs="黑体"/>
          <w:b/>
          <w:szCs w:val="21"/>
        </w:rPr>
      </w:pPr>
      <w:bookmarkStart w:id="11" w:name="_Toc443378621"/>
      <w:r>
        <w:rPr>
          <w:rFonts w:hint="eastAsia" w:ascii="宋体" w:hAnsi="宋体" w:cs="黑体"/>
          <w:b/>
          <w:szCs w:val="21"/>
        </w:rPr>
        <w:t>六、民生改善成效显著</w:t>
      </w:r>
      <w:bookmarkEnd w:id="11"/>
    </w:p>
    <w:p>
      <w:pPr>
        <w:spacing w:line="320" w:lineRule="exact"/>
        <w:ind w:firstLine="422" w:firstLineChars="200"/>
        <w:rPr>
          <w:rFonts w:hint="eastAsia" w:ascii="宋体" w:hAnsi="宋体" w:cs="仿宋"/>
          <w:szCs w:val="21"/>
        </w:rPr>
      </w:pPr>
      <w:r>
        <w:rPr>
          <w:rFonts w:hint="eastAsia" w:ascii="宋体" w:hAnsi="宋体" w:cs="仿宋"/>
          <w:b/>
          <w:bCs/>
          <w:szCs w:val="21"/>
        </w:rPr>
        <w:t>在居民收入方面</w:t>
      </w:r>
      <w:r>
        <w:rPr>
          <w:rFonts w:hint="eastAsia" w:ascii="宋体" w:hAnsi="宋体" w:cs="仿宋"/>
          <w:szCs w:val="21"/>
        </w:rPr>
        <w:t>，2015年城镇居民人均可支配收入33321元，比2010年增长86.3%；农村居民人均可支配收入15280元，比2010年增长73.3%。</w:t>
      </w:r>
      <w:r>
        <w:rPr>
          <w:rFonts w:hint="eastAsia" w:ascii="宋体" w:hAnsi="宋体" w:cs="仿宋"/>
          <w:b/>
          <w:bCs/>
          <w:szCs w:val="21"/>
        </w:rPr>
        <w:t>在就业方面，</w:t>
      </w:r>
      <w:r>
        <w:rPr>
          <w:rFonts w:hint="eastAsia" w:ascii="宋体" w:hAnsi="宋体" w:cs="仿宋"/>
          <w:szCs w:val="21"/>
        </w:rPr>
        <w:t>五年累计城乡实名制就业6.6万人，比“十一五”时期增加2万人，城镇登记失业率始终控制在3%以下。</w:t>
      </w:r>
      <w:r>
        <w:rPr>
          <w:rFonts w:hint="eastAsia" w:ascii="宋体" w:hAnsi="宋体" w:cs="仿宋"/>
          <w:b/>
          <w:bCs/>
          <w:szCs w:val="21"/>
        </w:rPr>
        <w:t>在社会保障方面，</w:t>
      </w:r>
      <w:r>
        <w:rPr>
          <w:rFonts w:hint="eastAsia" w:ascii="宋体" w:hAnsi="宋体" w:cs="仿宋"/>
          <w:szCs w:val="21"/>
        </w:rPr>
        <w:t>引导城乡居民社会保险保障应保尽保，参保率逐年提高，全区职工基本养老保险增收2.3亿元，基本养老、医疗、工伤、失业参保人数分别比“十一五”时期提高104%、31%、84%、33%，被征地农民养老保障覆盖率达到96%，城乡养老保险保障覆盖率达到90%，全区养老金水平比“十一五”时期增长63%，失业保险金待遇比“十一五”时期增长96%。按照城市低保户标准增加了农村低保户采暖费救助，把农村低保金标准提高到城市低保水平。</w:t>
      </w:r>
      <w:r>
        <w:rPr>
          <w:rFonts w:hint="eastAsia" w:ascii="宋体" w:hAnsi="宋体" w:cs="仿宋"/>
          <w:b/>
          <w:bCs/>
          <w:szCs w:val="21"/>
        </w:rPr>
        <w:t>在教育方面，</w:t>
      </w:r>
      <w:r>
        <w:rPr>
          <w:rFonts w:hint="eastAsia" w:ascii="宋体" w:hAnsi="宋体" w:cs="仿宋"/>
          <w:szCs w:val="21"/>
        </w:rPr>
        <w:t>五年累计投资6.54亿元新建和扩建、改造学校和幼儿园41所，20所学校实施了数字化校园建设，推进了集团化办学，引进教师316名，促进了教育优质均衡发展，加大了困难学生的救助力度，学前儿童入园率达到95%，小学和初中入学率达到100%，高中毛入学率达到了99.3%。</w:t>
      </w:r>
      <w:r>
        <w:rPr>
          <w:rFonts w:hint="eastAsia" w:ascii="宋体" w:hAnsi="宋体" w:cs="仿宋"/>
          <w:b/>
          <w:bCs/>
          <w:szCs w:val="21"/>
        </w:rPr>
        <w:t>在卫生方面，</w:t>
      </w:r>
      <w:r>
        <w:rPr>
          <w:rFonts w:hint="eastAsia" w:ascii="宋体" w:hAnsi="宋体" w:cs="仿宋"/>
          <w:szCs w:val="21"/>
        </w:rPr>
        <w:t>完成了区中心医院门诊楼和住院楼建设，维康医院投入使用，盛京医院沈北分院一期工程基本完工，建设改造了4个街道卫生服务中心和26个社区卫生服务站。</w:t>
      </w:r>
      <w:r>
        <w:rPr>
          <w:rFonts w:hint="eastAsia" w:ascii="宋体" w:hAnsi="宋体" w:cs="仿宋"/>
          <w:b/>
          <w:bCs/>
          <w:szCs w:val="21"/>
        </w:rPr>
        <w:t>在文化方面，</w:t>
      </w:r>
      <w:r>
        <w:rPr>
          <w:rFonts w:hint="eastAsia" w:ascii="宋体" w:hAnsi="宋体" w:cs="仿宋"/>
          <w:szCs w:val="21"/>
        </w:rPr>
        <w:t>全民健身中心建设完成，锡伯族博物馆开工建设，建设和改造文化健身广场80个、文化书屋100个、配置健身器材200余套，国民体质监测站12个。</w:t>
      </w:r>
      <w:r>
        <w:rPr>
          <w:rFonts w:hint="eastAsia" w:ascii="宋体" w:hAnsi="宋体" w:cs="仿宋"/>
          <w:b/>
          <w:bCs/>
          <w:szCs w:val="21"/>
        </w:rPr>
        <w:t>在人居环境方面，</w:t>
      </w:r>
      <w:r>
        <w:rPr>
          <w:rFonts w:hint="eastAsia" w:ascii="宋体" w:hAnsi="宋体" w:cs="仿宋"/>
          <w:szCs w:val="21"/>
        </w:rPr>
        <w:t>完成了7000余户清水煤矿棚户区改造，开展了20个城市棚户区（城中村）6000余户征收拆迁工作，全面完成29个老旧小区综合改造和66.4万平方米“暖房子”工程，为7110户低收入住房困难家庭提供住房补贴5482万元。</w:t>
      </w:r>
    </w:p>
    <w:p>
      <w:pPr>
        <w:spacing w:line="340" w:lineRule="exact"/>
        <w:ind w:firstLine="474" w:firstLineChars="225"/>
        <w:outlineLvl w:val="2"/>
        <w:rPr>
          <w:rFonts w:hint="eastAsia" w:ascii="宋体" w:hAnsi="宋体" w:cs="黑体"/>
          <w:b/>
          <w:szCs w:val="21"/>
        </w:rPr>
      </w:pPr>
      <w:bookmarkStart w:id="12" w:name="_Toc443378622"/>
      <w:r>
        <w:rPr>
          <w:rFonts w:hint="eastAsia" w:ascii="宋体" w:hAnsi="宋体" w:cs="黑体"/>
          <w:b/>
          <w:szCs w:val="21"/>
        </w:rPr>
        <w:t>七、体制改革取得新进展</w:t>
      </w:r>
      <w:bookmarkEnd w:id="12"/>
    </w:p>
    <w:p>
      <w:pPr>
        <w:spacing w:line="320" w:lineRule="exact"/>
        <w:ind w:firstLine="420" w:firstLineChars="200"/>
        <w:outlineLvl w:val="2"/>
        <w:rPr>
          <w:rFonts w:hint="eastAsia" w:ascii="宋体" w:hAnsi="宋体" w:cs="黑体"/>
          <w:b/>
          <w:szCs w:val="21"/>
        </w:rPr>
      </w:pPr>
      <w:bookmarkStart w:id="13" w:name="_Toc443378623"/>
      <w:r>
        <w:rPr>
          <w:rFonts w:hint="eastAsia" w:ascii="宋体" w:hAnsi="宋体" w:cs="仿宋"/>
          <w:szCs w:val="21"/>
        </w:rPr>
        <w:t>区属机构实行了大部门体制，减少机构27个，97个全额拨款事业单位整合为39个；按照相对集中、批管分离的原则组建了审批服务局，按照大监管、大执法的原则组建了市场和安全监管局、综合行政执法局。完善了经济区体制，明确了各经济区的功能定位。城市社区由40个合并为25个，健全了社区工作机构。区属机关人员下沉三分之一充实到经济区、街道和社区。沈北行政体制改革促进了监管服务效能的提高，得到了社会各方面的充分认可。</w:t>
      </w:r>
      <w:bookmarkEnd w:id="13"/>
    </w:p>
    <w:p>
      <w:pPr>
        <w:spacing w:line="320" w:lineRule="exact"/>
        <w:ind w:firstLine="420" w:firstLineChars="200"/>
        <w:rPr>
          <w:rFonts w:hint="eastAsia" w:ascii="宋体" w:hAnsi="宋体" w:cs="仿宋"/>
          <w:szCs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4226"/>
        <w:gridCol w:w="4124"/>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4" w:hRule="exact"/>
          <w:jc w:val="center"/>
        </w:trPr>
        <w:tc>
          <w:tcPr>
            <w:tcW w:w="8350" w:type="dxa"/>
            <w:gridSpan w:val="2"/>
            <w:noWrap w:val="0"/>
            <w:vAlign w:val="center"/>
          </w:tcPr>
          <w:p>
            <w:pPr>
              <w:spacing w:line="320" w:lineRule="exact"/>
              <w:jc w:val="center"/>
              <w:rPr>
                <w:rFonts w:hint="eastAsia" w:ascii="宋体" w:hAnsi="宋体" w:cs="仿宋"/>
                <w:sz w:val="21"/>
                <w:szCs w:val="21"/>
              </w:rPr>
            </w:pPr>
            <w:r>
              <w:rPr>
                <w:rFonts w:hint="eastAsia" w:ascii="宋体" w:hAnsi="宋体"/>
                <w:b/>
                <w:bCs/>
                <w:sz w:val="21"/>
                <w:szCs w:val="21"/>
              </w:rPr>
              <w:t>专栏</w:t>
            </w:r>
            <w:r>
              <w:rPr>
                <w:rFonts w:ascii="宋体" w:hAnsi="宋体"/>
                <w:b/>
                <w:bCs/>
                <w:sz w:val="21"/>
                <w:szCs w:val="21"/>
              </w:rPr>
              <w:t xml:space="preserve"> </w:t>
            </w:r>
            <w:r>
              <w:rPr>
                <w:rFonts w:hint="eastAsia" w:ascii="宋体" w:hAnsi="宋体"/>
                <w:b/>
                <w:bCs/>
                <w:sz w:val="21"/>
                <w:szCs w:val="21"/>
              </w:rPr>
              <w:t>1：主要</w:t>
            </w:r>
            <w:r>
              <w:rPr>
                <w:rFonts w:ascii="宋体" w:hAnsi="宋体"/>
                <w:b/>
                <w:bCs/>
                <w:sz w:val="21"/>
                <w:szCs w:val="21"/>
              </w:rPr>
              <w:t>荣誉称号</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165" w:hRule="atLeast"/>
          <w:jc w:val="center"/>
        </w:trPr>
        <w:tc>
          <w:tcPr>
            <w:tcW w:w="4226" w:type="dxa"/>
            <w:noWrap w:val="0"/>
            <w:vAlign w:val="top"/>
          </w:tcPr>
          <w:p>
            <w:pPr>
              <w:spacing w:line="320" w:lineRule="exact"/>
              <w:jc w:val="left"/>
              <w:rPr>
                <w:rFonts w:hint="eastAsia" w:ascii="宋体" w:hAnsi="宋体"/>
                <w:bCs/>
                <w:sz w:val="21"/>
                <w:szCs w:val="21"/>
              </w:rPr>
            </w:pPr>
            <w:r>
              <w:rPr>
                <w:rFonts w:hint="eastAsia" w:ascii="宋体" w:hAnsi="宋体"/>
                <w:bCs/>
                <w:sz w:val="21"/>
                <w:szCs w:val="21"/>
              </w:rPr>
              <w:t>1、国家级经济技术开发区</w:t>
            </w:r>
          </w:p>
          <w:p>
            <w:pPr>
              <w:spacing w:line="320" w:lineRule="exact"/>
              <w:jc w:val="left"/>
              <w:rPr>
                <w:rFonts w:hint="eastAsia" w:ascii="宋体" w:hAnsi="宋体"/>
                <w:bCs/>
                <w:sz w:val="21"/>
                <w:szCs w:val="21"/>
              </w:rPr>
            </w:pPr>
            <w:r>
              <w:rPr>
                <w:rFonts w:hint="eastAsia" w:ascii="宋体" w:hAnsi="宋体"/>
                <w:bCs/>
                <w:sz w:val="21"/>
                <w:szCs w:val="21"/>
              </w:rPr>
              <w:t>2、国家生态区</w:t>
            </w:r>
          </w:p>
          <w:p>
            <w:pPr>
              <w:spacing w:line="320" w:lineRule="exact"/>
              <w:jc w:val="left"/>
              <w:rPr>
                <w:rFonts w:hint="eastAsia" w:ascii="宋体" w:hAnsi="宋体"/>
                <w:bCs/>
                <w:sz w:val="21"/>
                <w:szCs w:val="21"/>
              </w:rPr>
            </w:pPr>
            <w:r>
              <w:rPr>
                <w:rFonts w:hint="eastAsia" w:ascii="宋体" w:hAnsi="宋体"/>
                <w:bCs/>
                <w:sz w:val="21"/>
                <w:szCs w:val="21"/>
              </w:rPr>
              <w:t>3、中国最具投资潜力生态区</w:t>
            </w:r>
          </w:p>
          <w:p>
            <w:pPr>
              <w:spacing w:line="320" w:lineRule="exact"/>
              <w:jc w:val="left"/>
              <w:rPr>
                <w:rFonts w:hint="eastAsia" w:ascii="宋体" w:hAnsi="宋体"/>
                <w:bCs/>
                <w:sz w:val="21"/>
                <w:szCs w:val="21"/>
              </w:rPr>
            </w:pPr>
            <w:r>
              <w:rPr>
                <w:rFonts w:hint="eastAsia" w:ascii="宋体" w:hAnsi="宋体"/>
                <w:bCs/>
                <w:sz w:val="21"/>
                <w:szCs w:val="21"/>
              </w:rPr>
              <w:t>4、国家级可持续发展实验区</w:t>
            </w:r>
          </w:p>
          <w:p>
            <w:pPr>
              <w:spacing w:line="320" w:lineRule="exact"/>
              <w:jc w:val="left"/>
              <w:rPr>
                <w:rFonts w:hint="eastAsia" w:ascii="宋体" w:hAnsi="宋体"/>
                <w:bCs/>
                <w:sz w:val="21"/>
                <w:szCs w:val="21"/>
              </w:rPr>
            </w:pPr>
            <w:r>
              <w:rPr>
                <w:rFonts w:hint="eastAsia" w:ascii="宋体" w:hAnsi="宋体"/>
                <w:bCs/>
                <w:sz w:val="21"/>
                <w:szCs w:val="21"/>
              </w:rPr>
              <w:t>5、全国人口和计划生育优质服务示范区</w:t>
            </w:r>
          </w:p>
          <w:p>
            <w:pPr>
              <w:spacing w:line="320" w:lineRule="exact"/>
              <w:jc w:val="left"/>
              <w:rPr>
                <w:rFonts w:hint="eastAsia" w:ascii="宋体" w:hAnsi="宋体"/>
                <w:bCs/>
                <w:sz w:val="21"/>
                <w:szCs w:val="21"/>
              </w:rPr>
            </w:pPr>
            <w:r>
              <w:rPr>
                <w:rFonts w:hint="eastAsia" w:ascii="宋体" w:hAnsi="宋体"/>
                <w:bCs/>
                <w:sz w:val="21"/>
                <w:szCs w:val="21"/>
              </w:rPr>
              <w:t>6、全国节约集约用地模范区创建活动试点</w:t>
            </w:r>
          </w:p>
          <w:p>
            <w:pPr>
              <w:spacing w:line="320" w:lineRule="exact"/>
              <w:jc w:val="left"/>
              <w:rPr>
                <w:rFonts w:hint="eastAsia" w:ascii="宋体" w:hAnsi="宋体"/>
                <w:bCs/>
                <w:sz w:val="21"/>
                <w:szCs w:val="21"/>
              </w:rPr>
            </w:pPr>
            <w:r>
              <w:rPr>
                <w:rFonts w:hint="eastAsia" w:ascii="宋体" w:hAnsi="宋体"/>
                <w:bCs/>
                <w:sz w:val="21"/>
                <w:szCs w:val="21"/>
              </w:rPr>
              <w:t>7、中国改革（2011）年度十佳县</w:t>
            </w:r>
          </w:p>
          <w:p>
            <w:pPr>
              <w:spacing w:line="320" w:lineRule="exact"/>
              <w:rPr>
                <w:rFonts w:hint="eastAsia" w:ascii="宋体" w:hAnsi="宋体"/>
                <w:bCs/>
                <w:sz w:val="21"/>
                <w:szCs w:val="21"/>
              </w:rPr>
            </w:pPr>
            <w:r>
              <w:rPr>
                <w:rFonts w:hint="eastAsia" w:ascii="宋体" w:hAnsi="宋体"/>
                <w:bCs/>
                <w:sz w:val="21"/>
                <w:szCs w:val="21"/>
              </w:rPr>
              <w:t>8、全国科技进步考核先进区</w:t>
            </w:r>
          </w:p>
          <w:p>
            <w:pPr>
              <w:spacing w:line="320" w:lineRule="exact"/>
              <w:jc w:val="left"/>
              <w:rPr>
                <w:rFonts w:hint="eastAsia" w:ascii="宋体" w:hAnsi="宋体"/>
                <w:bCs/>
                <w:sz w:val="21"/>
                <w:szCs w:val="21"/>
              </w:rPr>
            </w:pPr>
            <w:r>
              <w:rPr>
                <w:rFonts w:hint="eastAsia" w:ascii="宋体" w:hAnsi="宋体"/>
                <w:bCs/>
                <w:sz w:val="21"/>
                <w:szCs w:val="21"/>
              </w:rPr>
              <w:t>9、国家智慧城市创建试点</w:t>
            </w:r>
          </w:p>
        </w:tc>
        <w:tc>
          <w:tcPr>
            <w:tcW w:w="4124" w:type="dxa"/>
            <w:noWrap w:val="0"/>
            <w:vAlign w:val="top"/>
          </w:tcPr>
          <w:p>
            <w:pPr>
              <w:spacing w:line="320" w:lineRule="exact"/>
              <w:jc w:val="left"/>
              <w:rPr>
                <w:rFonts w:hint="eastAsia" w:ascii="宋体" w:hAnsi="宋体"/>
                <w:bCs/>
                <w:sz w:val="21"/>
                <w:szCs w:val="21"/>
              </w:rPr>
            </w:pPr>
            <w:r>
              <w:rPr>
                <w:rFonts w:hint="eastAsia" w:ascii="宋体" w:hAnsi="宋体"/>
                <w:bCs/>
                <w:sz w:val="21"/>
                <w:szCs w:val="21"/>
              </w:rPr>
              <w:t>10、中国最佳投资环境示范区</w:t>
            </w:r>
          </w:p>
          <w:p>
            <w:pPr>
              <w:spacing w:line="320" w:lineRule="exact"/>
              <w:jc w:val="left"/>
              <w:rPr>
                <w:rFonts w:hint="eastAsia" w:ascii="宋体" w:hAnsi="宋体"/>
                <w:bCs/>
                <w:sz w:val="21"/>
                <w:szCs w:val="21"/>
              </w:rPr>
            </w:pPr>
            <w:r>
              <w:rPr>
                <w:rFonts w:hint="eastAsia" w:ascii="宋体" w:hAnsi="宋体"/>
                <w:bCs/>
                <w:sz w:val="21"/>
                <w:szCs w:val="21"/>
              </w:rPr>
              <w:t>11、国家外贸转型升级示范基地</w:t>
            </w:r>
          </w:p>
          <w:p>
            <w:pPr>
              <w:spacing w:line="320" w:lineRule="exact"/>
              <w:jc w:val="left"/>
              <w:rPr>
                <w:rFonts w:hint="eastAsia" w:ascii="宋体" w:hAnsi="宋体"/>
                <w:bCs/>
                <w:sz w:val="21"/>
                <w:szCs w:val="21"/>
              </w:rPr>
            </w:pPr>
            <w:r>
              <w:rPr>
                <w:rFonts w:hint="eastAsia" w:ascii="宋体" w:hAnsi="宋体"/>
                <w:bCs/>
                <w:sz w:val="21"/>
                <w:szCs w:val="21"/>
              </w:rPr>
              <w:t>12、辽宁省乡村旅游先进区</w:t>
            </w:r>
          </w:p>
          <w:p>
            <w:pPr>
              <w:spacing w:line="320" w:lineRule="exact"/>
              <w:jc w:val="left"/>
              <w:rPr>
                <w:rFonts w:hint="eastAsia" w:ascii="宋体" w:hAnsi="宋体"/>
                <w:bCs/>
                <w:sz w:val="21"/>
                <w:szCs w:val="21"/>
              </w:rPr>
            </w:pPr>
            <w:r>
              <w:rPr>
                <w:rFonts w:hint="eastAsia" w:ascii="宋体" w:hAnsi="宋体"/>
                <w:bCs/>
                <w:sz w:val="21"/>
                <w:szCs w:val="21"/>
              </w:rPr>
              <w:t>13、辽宁省生态旅游示范区</w:t>
            </w:r>
          </w:p>
          <w:p>
            <w:pPr>
              <w:spacing w:line="320" w:lineRule="exact"/>
              <w:jc w:val="left"/>
              <w:rPr>
                <w:rFonts w:hint="eastAsia" w:ascii="宋体" w:hAnsi="宋体"/>
                <w:bCs/>
                <w:sz w:val="21"/>
                <w:szCs w:val="21"/>
              </w:rPr>
            </w:pPr>
            <w:r>
              <w:rPr>
                <w:rFonts w:hint="eastAsia" w:ascii="宋体" w:hAnsi="宋体"/>
                <w:bCs/>
                <w:sz w:val="21"/>
                <w:szCs w:val="21"/>
              </w:rPr>
              <w:t>14、辽宁省十大最美县区</w:t>
            </w:r>
          </w:p>
          <w:p>
            <w:pPr>
              <w:spacing w:line="320" w:lineRule="exact"/>
              <w:jc w:val="left"/>
              <w:rPr>
                <w:rFonts w:hint="eastAsia" w:ascii="宋体" w:hAnsi="宋体"/>
                <w:bCs/>
                <w:sz w:val="21"/>
                <w:szCs w:val="21"/>
              </w:rPr>
            </w:pPr>
            <w:r>
              <w:rPr>
                <w:rFonts w:hint="eastAsia" w:ascii="宋体" w:hAnsi="宋体"/>
                <w:bCs/>
                <w:sz w:val="21"/>
                <w:szCs w:val="21"/>
              </w:rPr>
              <w:t>15、沈阳经济区综合配套改革先导示范区</w:t>
            </w:r>
          </w:p>
          <w:p>
            <w:pPr>
              <w:spacing w:line="320" w:lineRule="exact"/>
              <w:jc w:val="left"/>
              <w:rPr>
                <w:rFonts w:hint="eastAsia" w:ascii="宋体" w:hAnsi="宋体"/>
                <w:bCs/>
                <w:sz w:val="21"/>
                <w:szCs w:val="21"/>
              </w:rPr>
            </w:pPr>
            <w:r>
              <w:rPr>
                <w:rFonts w:hint="eastAsia" w:ascii="宋体" w:hAnsi="宋体"/>
                <w:bCs/>
                <w:sz w:val="21"/>
                <w:szCs w:val="21"/>
              </w:rPr>
              <w:t>16、辽宁省十大法治文明示范区</w:t>
            </w:r>
          </w:p>
          <w:p>
            <w:pPr>
              <w:spacing w:line="320" w:lineRule="exact"/>
              <w:rPr>
                <w:rFonts w:hint="eastAsia" w:ascii="宋体" w:hAnsi="宋体" w:cs="仿宋"/>
                <w:sz w:val="21"/>
                <w:szCs w:val="21"/>
              </w:rPr>
            </w:pPr>
            <w:r>
              <w:rPr>
                <w:rFonts w:hint="eastAsia" w:ascii="宋体" w:hAnsi="宋体"/>
                <w:bCs/>
                <w:sz w:val="21"/>
                <w:szCs w:val="21"/>
              </w:rPr>
              <w:t>17、辽宁省社会文化先进区</w:t>
            </w:r>
          </w:p>
        </w:tc>
      </w:tr>
    </w:tbl>
    <w:p>
      <w:pPr>
        <w:spacing w:line="320" w:lineRule="exact"/>
        <w:ind w:firstLine="420" w:firstLineChars="200"/>
        <w:rPr>
          <w:rFonts w:hint="eastAsia" w:ascii="宋体" w:hAnsi="宋体" w:cs="仿宋"/>
          <w:szCs w:val="21"/>
        </w:rPr>
      </w:pPr>
      <w:r>
        <w:rPr>
          <w:rFonts w:hint="eastAsia" w:ascii="宋体" w:hAnsi="宋体" w:cs="仿宋"/>
          <w:szCs w:val="21"/>
        </w:rPr>
        <w:t>“十二五”时期沈北经济社会发展取得了很大成绩，但也存在一些突出问题，主要是受宏观经济下行压力影响，特别是房地产开发建设和市场销售下降，导致财税收入等少数经济指标未能实现预期目标，经济总量还不大，经济结构还不尽合理，创新驱动作用还不明显，经济社会发展还不够协调和平衡，民生改善和农村建设仍然是经济社会发展的短板，部分群众生活还比较困难。</w:t>
      </w:r>
    </w:p>
    <w:p>
      <w:pPr>
        <w:spacing w:line="320" w:lineRule="exact"/>
        <w:jc w:val="center"/>
        <w:outlineLvl w:val="1"/>
        <w:rPr>
          <w:rFonts w:hint="eastAsia" w:ascii="黑体" w:hAnsi="宋体" w:eastAsia="黑体" w:cs="楷体"/>
          <w:bCs/>
          <w:sz w:val="24"/>
        </w:rPr>
      </w:pPr>
      <w:bookmarkStart w:id="14" w:name="_Toc443378624"/>
      <w:r>
        <w:rPr>
          <w:rFonts w:hint="eastAsia" w:ascii="黑体" w:hAnsi="宋体" w:eastAsia="黑体" w:cs="楷体"/>
          <w:bCs/>
          <w:sz w:val="24"/>
        </w:rPr>
        <w:t>第二节 “十三五”时期面临的环境</w:t>
      </w:r>
      <w:bookmarkEnd w:id="14"/>
    </w:p>
    <w:p>
      <w:pPr>
        <w:spacing w:line="320" w:lineRule="exact"/>
        <w:ind w:firstLine="420" w:firstLineChars="200"/>
        <w:rPr>
          <w:rFonts w:hint="eastAsia" w:ascii="宋体" w:hAnsi="宋体" w:cs="仿宋"/>
          <w:szCs w:val="21"/>
        </w:rPr>
      </w:pPr>
      <w:r>
        <w:rPr>
          <w:rFonts w:hint="eastAsia" w:ascii="宋体" w:hAnsi="宋体" w:cs="仿宋"/>
          <w:szCs w:val="21"/>
        </w:rPr>
        <w:t>未来五年，我国仍处于重要战略机遇期。沈北经过多年的发展，特别是近几年改革创新和结构调整，为未来发展储备了能量，奠定了良好基础，未来五年面临着快速发展的重大机遇，也面临着前所未有的问题和压力。</w:t>
      </w:r>
    </w:p>
    <w:p>
      <w:pPr>
        <w:spacing w:line="320" w:lineRule="exact"/>
        <w:ind w:firstLine="422" w:firstLineChars="200"/>
        <w:rPr>
          <w:rFonts w:hint="eastAsia" w:ascii="宋体" w:hAnsi="宋体" w:cs="仿宋"/>
          <w:szCs w:val="21"/>
        </w:rPr>
      </w:pPr>
      <w:r>
        <w:rPr>
          <w:rFonts w:hint="eastAsia" w:ascii="宋体" w:hAnsi="宋体" w:cs="仿宋"/>
          <w:b/>
          <w:szCs w:val="21"/>
        </w:rPr>
        <w:t>从宏观环境看</w:t>
      </w:r>
      <w:r>
        <w:rPr>
          <w:rFonts w:hint="eastAsia" w:ascii="宋体" w:hAnsi="宋体" w:cs="仿宋"/>
          <w:szCs w:val="21"/>
        </w:rPr>
        <w:t>，世界经济仍处于金融危机后的复苏和变革时期，复杂因素不断增加，一方面国际需求不足，给我国外贸出口增加了压力，另一方面，国际金融危机从经济向各个领域传导，全球科技和产业孕育着新变革，世界经济发展的格局和规则正在发生新变化，为我国深度融入全球经济提供了难得历史机遇。当前，我国经济形势稳中有进，长期向好的基本面没有改变，经济韧性好、潜力足、回旋空间大的基本特质没有变，经济持续增长的良好支撑基础和条件没有变，经济结构优化调整的态势没有变。新的经济增长点正在加快孕育并不断破茧而出，新的增长动力正在加快形成并不断蓄积力量，经济发展前景仍然广阔。国家大力推进新型城镇化，实行“一带一路”、振兴东北老工业基地等重大发展战略，都为我国未来发展注入了强大动力。</w:t>
      </w:r>
    </w:p>
    <w:p>
      <w:pPr>
        <w:spacing w:line="320" w:lineRule="exact"/>
        <w:ind w:firstLine="422" w:firstLineChars="200"/>
        <w:rPr>
          <w:rFonts w:hint="eastAsia" w:ascii="宋体" w:hAnsi="宋体" w:cs="仿宋"/>
          <w:szCs w:val="21"/>
        </w:rPr>
      </w:pPr>
      <w:r>
        <w:rPr>
          <w:rFonts w:hint="eastAsia" w:ascii="宋体" w:hAnsi="宋体" w:cs="仿宋"/>
          <w:b/>
          <w:szCs w:val="21"/>
        </w:rPr>
        <w:t>从沈北发展看</w:t>
      </w:r>
      <w:r>
        <w:rPr>
          <w:rFonts w:hint="eastAsia" w:ascii="宋体" w:hAnsi="宋体" w:cs="仿宋"/>
          <w:szCs w:val="21"/>
        </w:rPr>
        <w:t>，沈北新区成立十年来，经济实力稳步增长，通过优化和调整经济结构，经济质量和效益明显提升，特别是全力以赴抓项目建设，引进和建设了一批重大项目，为未来的发展积蓄了能量，提供了支撑。同时，通过不断加大投入，环境得到全面优化，民生得到切实改善，经济社会发展更加协调和可持续，为未来五年的发展创造了良好的基础和条件。</w:t>
      </w:r>
    </w:p>
    <w:p>
      <w:pPr>
        <w:spacing w:line="320" w:lineRule="exact"/>
        <w:jc w:val="center"/>
        <w:rPr>
          <w:rFonts w:hint="eastAsia" w:ascii="黑体" w:hAnsi="宋体" w:eastAsia="黑体" w:cs="黑体"/>
          <w:sz w:val="30"/>
          <w:szCs w:val="30"/>
        </w:rPr>
      </w:pPr>
      <w:bookmarkStart w:id="15" w:name="_Toc443378625"/>
      <w:bookmarkStart w:id="16" w:name="_Toc445880849"/>
      <w:r>
        <w:rPr>
          <w:rFonts w:hint="eastAsia" w:ascii="黑体" w:hAnsi="宋体" w:eastAsia="黑体" w:cs="黑体"/>
          <w:sz w:val="30"/>
          <w:szCs w:val="30"/>
        </w:rPr>
        <w:t>第二章 发展构想</w:t>
      </w:r>
      <w:bookmarkEnd w:id="15"/>
      <w:bookmarkEnd w:id="16"/>
    </w:p>
    <w:p>
      <w:pPr>
        <w:spacing w:line="320" w:lineRule="exact"/>
        <w:jc w:val="center"/>
        <w:rPr>
          <w:rFonts w:hint="eastAsia" w:ascii="黑体" w:hAnsi="宋体" w:eastAsia="黑体" w:cs="仿宋"/>
          <w:sz w:val="32"/>
          <w:szCs w:val="32"/>
        </w:rPr>
      </w:pPr>
    </w:p>
    <w:p>
      <w:pPr>
        <w:spacing w:line="320" w:lineRule="exact"/>
        <w:jc w:val="center"/>
        <w:outlineLvl w:val="1"/>
        <w:rPr>
          <w:rFonts w:hint="eastAsia" w:ascii="黑体" w:hAnsi="宋体" w:eastAsia="黑体" w:cs="楷体"/>
          <w:bCs/>
          <w:sz w:val="24"/>
        </w:rPr>
      </w:pPr>
      <w:bookmarkStart w:id="17" w:name="_Toc443378626"/>
      <w:r>
        <w:rPr>
          <w:rFonts w:hint="eastAsia" w:ascii="黑体" w:hAnsi="宋体" w:eastAsia="黑体" w:cs="楷体"/>
          <w:bCs/>
          <w:sz w:val="24"/>
        </w:rPr>
        <w:t>第一节 指导思想</w:t>
      </w:r>
      <w:bookmarkEnd w:id="17"/>
    </w:p>
    <w:p>
      <w:pPr>
        <w:spacing w:line="320" w:lineRule="exact"/>
        <w:ind w:firstLine="420" w:firstLineChars="200"/>
        <w:rPr>
          <w:rFonts w:hint="eastAsia" w:ascii="宋体" w:hAnsi="宋体" w:cs="仿宋"/>
          <w:szCs w:val="21"/>
        </w:rPr>
      </w:pPr>
      <w:r>
        <w:rPr>
          <w:rFonts w:hint="eastAsia" w:ascii="宋体" w:hAnsi="宋体" w:cs="仿宋"/>
          <w:szCs w:val="21"/>
        </w:rPr>
        <w:t>高举中国特色社会主义伟大旗帜，全面贯彻党的十八大和十八届三中、四中、五中全会精神，以马克思列宁主义、毛泽东思想、邓小平理论、“三个代表”重要思想、科学发展观为指导，深入贯彻习近平总书记系列重要讲话精神，全面落实“四个全面”的战略布局，遵循“四个着力”的总体要求，紧紧抓住国家推动新一轮东北振兴的重大机遇，主动适应和积极引领经济发展新常态，坚持问题导向、目标导向和市场导向，牢固树立创新、协调、绿色、开放、共享的发展理念，把壮大经济总量、促进经济提质增效作为主攻方向，以改革创新增强发展活力和动力，以绿色低碳提升可持续发展能力，以扩大开放提升国际竞争力，以共享发展增进社会凝聚力，协调推进经济、政治、文化、社会、生态文明五大建设，统筹城乡一体化发展，到2017年全面建成小康社会，到2020年建成更加富庶、法治、文明、美丽、幸福的新沈北。</w:t>
      </w:r>
    </w:p>
    <w:p>
      <w:pPr>
        <w:spacing w:line="320" w:lineRule="exact"/>
        <w:jc w:val="center"/>
        <w:outlineLvl w:val="1"/>
        <w:rPr>
          <w:rFonts w:hint="eastAsia" w:ascii="黑体" w:hAnsi="宋体" w:eastAsia="黑体" w:cs="楷体"/>
          <w:bCs/>
          <w:sz w:val="24"/>
        </w:rPr>
      </w:pPr>
      <w:bookmarkStart w:id="18" w:name="_Toc443378627"/>
      <w:r>
        <w:rPr>
          <w:rFonts w:hint="eastAsia" w:ascii="黑体" w:hAnsi="宋体" w:eastAsia="黑体" w:cs="楷体"/>
          <w:bCs/>
          <w:sz w:val="24"/>
        </w:rPr>
        <w:t>第二节 基本原则</w:t>
      </w:r>
      <w:bookmarkEnd w:id="18"/>
    </w:p>
    <w:p>
      <w:pPr>
        <w:spacing w:line="300" w:lineRule="exact"/>
        <w:ind w:firstLine="422" w:firstLineChars="200"/>
        <w:outlineLvl w:val="2"/>
        <w:rPr>
          <w:rFonts w:hint="eastAsia" w:ascii="宋体" w:hAnsi="宋体" w:cs="仿宋"/>
          <w:szCs w:val="21"/>
        </w:rPr>
      </w:pPr>
      <w:bookmarkStart w:id="19" w:name="_Toc443378628"/>
      <w:r>
        <w:rPr>
          <w:rFonts w:hint="eastAsia" w:ascii="宋体" w:hAnsi="宋体" w:cs="仿宋"/>
          <w:b/>
          <w:szCs w:val="21"/>
        </w:rPr>
        <w:t>一是坚持经济增长与调整结构相结合。</w:t>
      </w:r>
      <w:r>
        <w:rPr>
          <w:rFonts w:hint="eastAsia" w:ascii="宋体" w:hAnsi="宋体" w:cs="仿宋"/>
          <w:szCs w:val="21"/>
        </w:rPr>
        <w:t>坚持主要用增量调结构，在发展中促转变、在转变中谋发展，在不断壮大经济总量的同时，调整投资结构和财税收入结构，推进产业结构的优化升级，重点培育发展新兴工业、现代农业和现代服务业，加快完善现代产业体系，增强发展的协调性和可持续性，提高经济的质量和效益。</w:t>
      </w:r>
      <w:bookmarkEnd w:id="19"/>
    </w:p>
    <w:p>
      <w:pPr>
        <w:spacing w:line="300" w:lineRule="exact"/>
        <w:ind w:firstLine="422" w:firstLineChars="200"/>
        <w:outlineLvl w:val="2"/>
        <w:rPr>
          <w:rFonts w:hint="eastAsia" w:ascii="宋体" w:hAnsi="宋体" w:cs="仿宋"/>
          <w:szCs w:val="21"/>
        </w:rPr>
      </w:pPr>
      <w:bookmarkStart w:id="20" w:name="_Toc443378629"/>
      <w:r>
        <w:rPr>
          <w:rFonts w:hint="eastAsia" w:ascii="宋体" w:hAnsi="宋体" w:cs="仿宋"/>
          <w:b/>
          <w:szCs w:val="21"/>
        </w:rPr>
        <w:t>二是坚持投资拉动与创新驱动相结合</w:t>
      </w:r>
      <w:r>
        <w:rPr>
          <w:rFonts w:hint="eastAsia" w:ascii="宋体" w:hAnsi="宋体" w:cs="仿宋"/>
          <w:szCs w:val="21"/>
        </w:rPr>
        <w:t>。推进对外开放，加强区域合作，强化招商引资，充分发挥投资的拉动作用。同时，大力实施创新驱动发展战略，积极引进国内外优秀人才和先进技术，以科技经济深度融合为导向，以科技创新为核心带动产品创新、管理创新、组织创新、商业模式创新，全面增强经济发展的活力和内生动力，实现经济发展投资和创新双轮驱动。</w:t>
      </w:r>
      <w:bookmarkEnd w:id="20"/>
    </w:p>
    <w:p>
      <w:pPr>
        <w:spacing w:line="300" w:lineRule="exact"/>
        <w:ind w:firstLine="422" w:firstLineChars="200"/>
        <w:outlineLvl w:val="2"/>
        <w:rPr>
          <w:rFonts w:hint="eastAsia" w:ascii="宋体" w:hAnsi="宋体" w:cs="仿宋"/>
          <w:szCs w:val="21"/>
        </w:rPr>
      </w:pPr>
      <w:bookmarkStart w:id="21" w:name="_Toc443378630"/>
      <w:r>
        <w:rPr>
          <w:rFonts w:hint="eastAsia" w:ascii="宋体" w:hAnsi="宋体" w:cs="仿宋"/>
          <w:b/>
          <w:szCs w:val="21"/>
        </w:rPr>
        <w:t>三是坚持经济建设与改善民生优化环境相协调</w:t>
      </w:r>
      <w:r>
        <w:rPr>
          <w:rFonts w:hint="eastAsia" w:ascii="宋体" w:hAnsi="宋体" w:cs="仿宋"/>
          <w:szCs w:val="21"/>
        </w:rPr>
        <w:t>。把保障和改善民生作为发展的根本出发点和落脚点，把生态文明理念贯穿经济社会发展的全过程和各领域，树立服务民生抓生态、改善生态惠民生的价值取向，实现环境与发展双赢共进，人与自然和谐共生，经济、社会和环境协调统一。</w:t>
      </w:r>
      <w:bookmarkEnd w:id="21"/>
    </w:p>
    <w:p>
      <w:pPr>
        <w:spacing w:line="300" w:lineRule="exact"/>
        <w:ind w:firstLine="422" w:firstLineChars="200"/>
        <w:outlineLvl w:val="2"/>
        <w:rPr>
          <w:rFonts w:hint="eastAsia" w:ascii="宋体" w:hAnsi="宋体" w:cs="仿宋"/>
          <w:szCs w:val="21"/>
        </w:rPr>
      </w:pPr>
      <w:bookmarkStart w:id="22" w:name="_Toc443378631"/>
      <w:r>
        <w:rPr>
          <w:rFonts w:hint="eastAsia" w:ascii="宋体" w:hAnsi="宋体" w:cs="仿宋"/>
          <w:b/>
          <w:szCs w:val="21"/>
        </w:rPr>
        <w:t>四是坚持城市发展与农村建设相协调</w:t>
      </w:r>
      <w:r>
        <w:rPr>
          <w:rFonts w:hint="eastAsia" w:ascii="宋体" w:hAnsi="宋体" w:cs="仿宋"/>
          <w:szCs w:val="21"/>
        </w:rPr>
        <w:t>。统筹城乡一体化发展。大力发展现代农业，提高农民收入水平。推进城乡基础设施一体化，加强农村环境整治力度。实现城乡公共服务优质均衡发展，逐步缩小城乡社会保障差别。</w:t>
      </w:r>
      <w:bookmarkEnd w:id="22"/>
    </w:p>
    <w:p>
      <w:pPr>
        <w:spacing w:line="300" w:lineRule="exact"/>
        <w:jc w:val="center"/>
        <w:outlineLvl w:val="1"/>
        <w:rPr>
          <w:rFonts w:hint="eastAsia" w:ascii="黑体" w:hAnsi="宋体" w:eastAsia="黑体" w:cs="楷体"/>
          <w:bCs/>
          <w:sz w:val="24"/>
        </w:rPr>
      </w:pPr>
      <w:bookmarkStart w:id="23" w:name="_Toc443378632"/>
      <w:r>
        <w:rPr>
          <w:rFonts w:hint="eastAsia" w:ascii="黑体" w:hAnsi="宋体" w:eastAsia="黑体" w:cs="楷体"/>
          <w:bCs/>
          <w:sz w:val="24"/>
        </w:rPr>
        <w:t>第三节 总体目标</w:t>
      </w:r>
      <w:bookmarkEnd w:id="23"/>
    </w:p>
    <w:p>
      <w:pPr>
        <w:spacing w:line="300" w:lineRule="exact"/>
        <w:ind w:firstLine="420" w:firstLineChars="200"/>
        <w:rPr>
          <w:rFonts w:hint="eastAsia" w:ascii="宋体" w:hAnsi="宋体" w:cs="仿宋"/>
          <w:szCs w:val="21"/>
        </w:rPr>
      </w:pPr>
      <w:r>
        <w:rPr>
          <w:rFonts w:hint="eastAsia" w:ascii="宋体" w:hAnsi="宋体" w:cs="仿宋"/>
          <w:szCs w:val="21"/>
        </w:rPr>
        <w:t>“十三五”时期，要全面完成深化改革任务，经济总量快速增长，经济布局和产业结构更加优化，城市功能更加完善，经济发展与民生改善更加协调，生态环境大幅提升，基本实现城乡一体化发展，到2017年全面建成小康社会，到2020年基本建成中心城市新都心、生态田园新都市、新兴产业集聚区，建成更加富庶、法治、文明、美丽、幸福的新沈北。</w:t>
      </w:r>
    </w:p>
    <w:tbl>
      <w:tblPr>
        <w:tblStyle w:val="4"/>
        <w:tblW w:w="0" w:type="auto"/>
        <w:jc w:val="center"/>
        <w:tblLayout w:type="fixed"/>
        <w:tblCellMar>
          <w:top w:w="15" w:type="dxa"/>
          <w:left w:w="15" w:type="dxa"/>
          <w:bottom w:w="15" w:type="dxa"/>
          <w:right w:w="15" w:type="dxa"/>
        </w:tblCellMar>
      </w:tblPr>
      <w:tblGrid>
        <w:gridCol w:w="580"/>
        <w:gridCol w:w="420"/>
        <w:gridCol w:w="2325"/>
        <w:gridCol w:w="543"/>
        <w:gridCol w:w="605"/>
        <w:gridCol w:w="236"/>
        <w:gridCol w:w="419"/>
        <w:gridCol w:w="1080"/>
        <w:gridCol w:w="75"/>
        <w:gridCol w:w="1041"/>
        <w:gridCol w:w="979"/>
      </w:tblGrid>
      <w:tr>
        <w:tblPrEx>
          <w:tblCellMar>
            <w:top w:w="15" w:type="dxa"/>
            <w:left w:w="15" w:type="dxa"/>
            <w:bottom w:w="15" w:type="dxa"/>
            <w:right w:w="15" w:type="dxa"/>
          </w:tblCellMar>
        </w:tblPrEx>
        <w:trPr>
          <w:trHeight w:val="454" w:hRule="exact"/>
          <w:jc w:val="center"/>
        </w:trPr>
        <w:tc>
          <w:tcPr>
            <w:tcW w:w="8303"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b/>
                <w:szCs w:val="21"/>
              </w:rPr>
              <w:t>专栏</w:t>
            </w:r>
            <w:r>
              <w:rPr>
                <w:rFonts w:hint="eastAsia" w:ascii="宋体" w:hAnsi="宋体"/>
                <w:b/>
                <w:szCs w:val="21"/>
              </w:rPr>
              <w:t>2</w:t>
            </w:r>
            <w:r>
              <w:rPr>
                <w:rFonts w:ascii="宋体" w:hAnsi="宋体"/>
                <w:b/>
                <w:szCs w:val="21"/>
              </w:rPr>
              <w:t>：“十三五”时期经济社会主要指标</w:t>
            </w:r>
          </w:p>
        </w:tc>
      </w:tr>
      <w:tr>
        <w:tblPrEx>
          <w:tblCellMar>
            <w:top w:w="15" w:type="dxa"/>
            <w:left w:w="15" w:type="dxa"/>
            <w:bottom w:w="15" w:type="dxa"/>
            <w:right w:w="15" w:type="dxa"/>
          </w:tblCellMar>
        </w:tblPrEx>
        <w:trPr>
          <w:trHeight w:val="655"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序号</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指标</w:t>
            </w:r>
          </w:p>
        </w:tc>
        <w:tc>
          <w:tcPr>
            <w:tcW w:w="1260" w:type="dxa"/>
            <w:gridSpan w:val="3"/>
            <w:tcBorders>
              <w:top w:val="single" w:color="000000" w:sz="4" w:space="0"/>
              <w:left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ascii="宋体" w:hAnsi="宋体" w:cs="宋体"/>
                <w:kern w:val="0"/>
                <w:szCs w:val="21"/>
              </w:rPr>
              <w:t>2015年</w:t>
            </w:r>
          </w:p>
          <w:p>
            <w:pPr>
              <w:widowControl/>
              <w:spacing w:line="320" w:lineRule="exact"/>
              <w:jc w:val="center"/>
              <w:rPr>
                <w:rFonts w:ascii="宋体" w:hAnsi="宋体" w:cs="宋体"/>
                <w:kern w:val="0"/>
                <w:szCs w:val="21"/>
              </w:rPr>
            </w:pPr>
            <w:r>
              <w:rPr>
                <w:rFonts w:ascii="宋体" w:hAnsi="宋体" w:cs="宋体"/>
                <w:kern w:val="0"/>
                <w:szCs w:val="21"/>
              </w:rPr>
              <w:t>基数</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ascii="宋体" w:hAnsi="宋体" w:cs="宋体"/>
                <w:kern w:val="0"/>
                <w:szCs w:val="21"/>
              </w:rPr>
              <w:t>2020年</w:t>
            </w:r>
          </w:p>
          <w:p>
            <w:pPr>
              <w:widowControl/>
              <w:spacing w:line="320" w:lineRule="exact"/>
              <w:jc w:val="center"/>
              <w:rPr>
                <w:rFonts w:ascii="宋体" w:hAnsi="宋体" w:cs="宋体"/>
                <w:kern w:val="0"/>
                <w:szCs w:val="21"/>
              </w:rPr>
            </w:pPr>
            <w:r>
              <w:rPr>
                <w:rFonts w:ascii="宋体" w:hAnsi="宋体" w:cs="宋体"/>
                <w:kern w:val="0"/>
                <w:szCs w:val="21"/>
              </w:rPr>
              <w:t>目标值</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kern w:val="0"/>
                <w:szCs w:val="21"/>
                <w:lang w:eastAsia="zh-CN"/>
              </w:rPr>
            </w:pPr>
            <w:r>
              <w:rPr>
                <w:rFonts w:ascii="宋体" w:hAnsi="宋体" w:cs="宋体"/>
                <w:kern w:val="0"/>
                <w:szCs w:val="21"/>
              </w:rPr>
              <w:t>累计或年均</w:t>
            </w:r>
          </w:p>
          <w:p>
            <w:pPr>
              <w:widowControl/>
              <w:spacing w:line="320" w:lineRule="exact"/>
              <w:jc w:val="center"/>
              <w:rPr>
                <w:rFonts w:ascii="宋体" w:hAnsi="宋体" w:cs="宋体"/>
                <w:kern w:val="0"/>
                <w:szCs w:val="21"/>
              </w:rPr>
            </w:pPr>
            <w:r>
              <w:rPr>
                <w:rFonts w:ascii="宋体" w:hAnsi="宋体" w:cs="宋体"/>
                <w:kern w:val="0"/>
                <w:szCs w:val="21"/>
              </w:rPr>
              <w:t>增长（%）</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属性</w:t>
            </w:r>
          </w:p>
        </w:tc>
      </w:tr>
      <w:tr>
        <w:tblPrEx>
          <w:tblCellMar>
            <w:top w:w="15" w:type="dxa"/>
            <w:left w:w="15" w:type="dxa"/>
            <w:bottom w:w="15" w:type="dxa"/>
            <w:right w:w="15" w:type="dxa"/>
          </w:tblCellMar>
        </w:tblPrEx>
        <w:trPr>
          <w:trHeight w:val="454" w:hRule="exact"/>
          <w:jc w:val="center"/>
        </w:trPr>
        <w:tc>
          <w:tcPr>
            <w:tcW w:w="8303"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民  生  福  祉</w:t>
            </w:r>
          </w:p>
        </w:tc>
      </w:tr>
      <w:tr>
        <w:tblPrEx>
          <w:tblCellMar>
            <w:top w:w="15" w:type="dxa"/>
            <w:left w:w="15" w:type="dxa"/>
            <w:bottom w:w="15" w:type="dxa"/>
            <w:right w:w="15" w:type="dxa"/>
          </w:tblCellMar>
        </w:tblPrEx>
        <w:trPr>
          <w:trHeight w:val="454" w:hRule="exact"/>
          <w:jc w:val="center"/>
        </w:trPr>
        <w:tc>
          <w:tcPr>
            <w:tcW w:w="580"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1</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bCs/>
                <w:kern w:val="0"/>
                <w:szCs w:val="21"/>
              </w:rPr>
            </w:pPr>
            <w:r>
              <w:rPr>
                <w:rFonts w:ascii="宋体" w:hAnsi="宋体" w:cs="宋体"/>
                <w:bCs/>
                <w:kern w:val="0"/>
                <w:szCs w:val="21"/>
              </w:rPr>
              <w:t>城乡居民人均可支配收入（元）</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28893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44995</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9.2</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bCs/>
                <w:kern w:val="0"/>
                <w:szCs w:val="21"/>
              </w:rPr>
            </w:pPr>
            <w:r>
              <w:rPr>
                <w:rFonts w:ascii="宋体" w:hAnsi="宋体" w:cs="宋体"/>
                <w:bCs/>
                <w:kern w:val="0"/>
                <w:szCs w:val="21"/>
              </w:rPr>
              <w:t>预期性</w:t>
            </w:r>
          </w:p>
        </w:tc>
      </w:tr>
      <w:tr>
        <w:tblPrEx>
          <w:tblCellMar>
            <w:top w:w="15" w:type="dxa"/>
            <w:left w:w="15" w:type="dxa"/>
            <w:bottom w:w="15" w:type="dxa"/>
            <w:right w:w="15" w:type="dxa"/>
          </w:tblCellMar>
        </w:tblPrEx>
        <w:trPr>
          <w:trHeight w:val="454" w:hRule="exact"/>
          <w:jc w:val="center"/>
        </w:trPr>
        <w:tc>
          <w:tcPr>
            <w:tcW w:w="580" w:type="dxa"/>
            <w:vMerge w:val="continue"/>
            <w:tcBorders>
              <w:left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eastAsia" w:ascii="宋体" w:hAnsi="宋体" w:cs="宋体"/>
                <w:kern w:val="0"/>
                <w:szCs w:val="21"/>
              </w:rPr>
            </w:pPr>
            <w:r>
              <w:rPr>
                <w:rFonts w:hint="eastAsia" w:ascii="宋体" w:hAnsi="宋体" w:cs="宋体"/>
                <w:kern w:val="0"/>
                <w:szCs w:val="21"/>
              </w:rPr>
              <w:t>其中：城镇居民人均可支配收入</w:t>
            </w:r>
            <w:r>
              <w:rPr>
                <w:rFonts w:ascii="宋体" w:hAnsi="宋体" w:cs="宋体"/>
                <w:bCs/>
                <w:kern w:val="0"/>
                <w:szCs w:val="21"/>
              </w:rPr>
              <w:t>（元）</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33321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47836</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7.5</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bCs/>
                <w:kern w:val="0"/>
                <w:szCs w:val="21"/>
              </w:rPr>
              <w:t>预期性</w:t>
            </w:r>
          </w:p>
        </w:tc>
      </w:tr>
      <w:tr>
        <w:tblPrEx>
          <w:tblCellMar>
            <w:top w:w="15" w:type="dxa"/>
            <w:left w:w="15" w:type="dxa"/>
            <w:bottom w:w="15" w:type="dxa"/>
            <w:right w:w="15" w:type="dxa"/>
          </w:tblCellMar>
        </w:tblPrEx>
        <w:trPr>
          <w:trHeight w:val="454" w:hRule="exact"/>
          <w:jc w:val="center"/>
        </w:trPr>
        <w:tc>
          <w:tcPr>
            <w:tcW w:w="580"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525" w:firstLineChars="250"/>
              <w:rPr>
                <w:rFonts w:hint="eastAsia" w:ascii="宋体" w:hAnsi="宋体" w:cs="宋体"/>
                <w:kern w:val="0"/>
                <w:szCs w:val="21"/>
              </w:rPr>
            </w:pPr>
            <w:r>
              <w:rPr>
                <w:rFonts w:hint="eastAsia" w:ascii="宋体" w:hAnsi="宋体" w:cs="宋体"/>
                <w:kern w:val="0"/>
                <w:szCs w:val="21"/>
              </w:rPr>
              <w:t>农村居民人均可支配收入</w:t>
            </w:r>
            <w:r>
              <w:rPr>
                <w:rFonts w:ascii="宋体" w:hAnsi="宋体" w:cs="宋体"/>
                <w:bCs/>
                <w:kern w:val="0"/>
                <w:szCs w:val="21"/>
              </w:rPr>
              <w:t>（元）</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15280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22976</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8.5</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bCs/>
                <w:kern w:val="0"/>
                <w:szCs w:val="21"/>
              </w:rPr>
              <w:t>预期性</w:t>
            </w:r>
          </w:p>
        </w:tc>
      </w:tr>
      <w:tr>
        <w:tblPrEx>
          <w:tblCellMar>
            <w:top w:w="15" w:type="dxa"/>
            <w:left w:w="15" w:type="dxa"/>
            <w:bottom w:w="15" w:type="dxa"/>
            <w:right w:w="15" w:type="dxa"/>
          </w:tblCellMar>
        </w:tblPrEx>
        <w:trPr>
          <w:trHeight w:val="45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2</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城镇</w:t>
            </w:r>
            <w:r>
              <w:rPr>
                <w:rFonts w:hint="eastAsia" w:ascii="宋体" w:hAnsi="宋体" w:cs="宋体"/>
                <w:kern w:val="0"/>
                <w:szCs w:val="21"/>
              </w:rPr>
              <w:t>登记</w:t>
            </w:r>
            <w:r>
              <w:rPr>
                <w:rFonts w:ascii="宋体" w:hAnsi="宋体" w:cs="宋体"/>
                <w:kern w:val="0"/>
                <w:szCs w:val="21"/>
              </w:rPr>
              <w:t>失业率（%）</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3</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454" w:hRule="exact"/>
          <w:jc w:val="center"/>
        </w:trPr>
        <w:tc>
          <w:tcPr>
            <w:tcW w:w="8303"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b/>
                <w:szCs w:val="21"/>
              </w:rPr>
              <w:t>专栏</w:t>
            </w:r>
            <w:r>
              <w:rPr>
                <w:rFonts w:hint="eastAsia" w:ascii="宋体" w:hAnsi="宋体"/>
                <w:b/>
                <w:szCs w:val="21"/>
              </w:rPr>
              <w:t>2</w:t>
            </w:r>
            <w:r>
              <w:rPr>
                <w:rFonts w:ascii="宋体" w:hAnsi="宋体"/>
                <w:b/>
                <w:szCs w:val="21"/>
              </w:rPr>
              <w:t>：“十三五”时期经济社会主要指标</w:t>
            </w:r>
          </w:p>
        </w:tc>
      </w:tr>
      <w:tr>
        <w:tblPrEx>
          <w:tblCellMar>
            <w:top w:w="15" w:type="dxa"/>
            <w:left w:w="15" w:type="dxa"/>
            <w:bottom w:w="15" w:type="dxa"/>
            <w:right w:w="15" w:type="dxa"/>
          </w:tblCellMar>
        </w:tblPrEx>
        <w:trPr>
          <w:trHeight w:val="65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序号</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指标</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ascii="宋体" w:hAnsi="宋体" w:cs="宋体"/>
                <w:kern w:val="0"/>
                <w:szCs w:val="21"/>
              </w:rPr>
              <w:t>2015年</w:t>
            </w:r>
          </w:p>
          <w:p>
            <w:pPr>
              <w:widowControl/>
              <w:spacing w:line="320" w:lineRule="exact"/>
              <w:jc w:val="center"/>
              <w:rPr>
                <w:rFonts w:ascii="宋体" w:hAnsi="宋体" w:cs="宋体"/>
                <w:kern w:val="0"/>
                <w:szCs w:val="21"/>
              </w:rPr>
            </w:pPr>
            <w:r>
              <w:rPr>
                <w:rFonts w:ascii="宋体" w:hAnsi="宋体" w:cs="宋体"/>
                <w:kern w:val="0"/>
                <w:szCs w:val="21"/>
              </w:rPr>
              <w:t>基数</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ascii="宋体" w:hAnsi="宋体" w:cs="宋体"/>
                <w:kern w:val="0"/>
                <w:szCs w:val="21"/>
              </w:rPr>
              <w:t>2020年</w:t>
            </w:r>
          </w:p>
          <w:p>
            <w:pPr>
              <w:widowControl/>
              <w:spacing w:line="320" w:lineRule="exact"/>
              <w:jc w:val="center"/>
              <w:rPr>
                <w:rFonts w:ascii="宋体" w:hAnsi="宋体" w:cs="宋体"/>
                <w:kern w:val="0"/>
                <w:szCs w:val="21"/>
              </w:rPr>
            </w:pPr>
            <w:r>
              <w:rPr>
                <w:rFonts w:ascii="宋体" w:hAnsi="宋体" w:cs="宋体"/>
                <w:kern w:val="0"/>
                <w:szCs w:val="21"/>
              </w:rPr>
              <w:t>目标值</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kern w:val="0"/>
                <w:szCs w:val="21"/>
                <w:lang w:eastAsia="zh-CN"/>
              </w:rPr>
            </w:pPr>
            <w:r>
              <w:rPr>
                <w:rFonts w:ascii="宋体" w:hAnsi="宋体" w:cs="宋体"/>
                <w:kern w:val="0"/>
                <w:szCs w:val="21"/>
              </w:rPr>
              <w:t>累计或年均</w:t>
            </w:r>
          </w:p>
          <w:p>
            <w:pPr>
              <w:widowControl/>
              <w:spacing w:line="320" w:lineRule="exact"/>
              <w:jc w:val="center"/>
              <w:rPr>
                <w:rFonts w:ascii="宋体" w:hAnsi="宋体" w:cs="宋体"/>
                <w:kern w:val="0"/>
                <w:szCs w:val="21"/>
              </w:rPr>
            </w:pPr>
            <w:r>
              <w:rPr>
                <w:rFonts w:ascii="宋体" w:hAnsi="宋体" w:cs="宋体"/>
                <w:kern w:val="0"/>
                <w:szCs w:val="21"/>
              </w:rPr>
              <w:t>增长（%）</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属性</w:t>
            </w:r>
          </w:p>
        </w:tc>
      </w:tr>
      <w:tr>
        <w:tblPrEx>
          <w:tblCellMar>
            <w:top w:w="15" w:type="dxa"/>
            <w:left w:w="15" w:type="dxa"/>
            <w:bottom w:w="15" w:type="dxa"/>
            <w:right w:w="15" w:type="dxa"/>
          </w:tblCellMar>
        </w:tblPrEx>
        <w:trPr>
          <w:trHeight w:val="454" w:hRule="exact"/>
          <w:jc w:val="center"/>
        </w:trPr>
        <w:tc>
          <w:tcPr>
            <w:tcW w:w="8303"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民  生  福  祉</w:t>
            </w:r>
          </w:p>
        </w:tc>
      </w:tr>
      <w:tr>
        <w:tblPrEx>
          <w:tblCellMar>
            <w:top w:w="15" w:type="dxa"/>
            <w:left w:w="15" w:type="dxa"/>
            <w:bottom w:w="15" w:type="dxa"/>
            <w:right w:w="15" w:type="dxa"/>
          </w:tblCellMar>
        </w:tblPrEx>
        <w:trPr>
          <w:trHeight w:val="397"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3</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城</w:t>
            </w:r>
            <w:r>
              <w:rPr>
                <w:rFonts w:hint="eastAsia" w:ascii="宋体" w:hAnsi="宋体" w:cs="宋体"/>
                <w:kern w:val="0"/>
                <w:szCs w:val="21"/>
              </w:rPr>
              <w:t>乡</w:t>
            </w:r>
            <w:r>
              <w:rPr>
                <w:rFonts w:ascii="宋体" w:hAnsi="宋体" w:cs="宋体"/>
                <w:kern w:val="0"/>
                <w:szCs w:val="21"/>
              </w:rPr>
              <w:t>新增就业人数（万人）</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累计6.3</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397"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4</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新增劳动力平均受教育年限（年）</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14.6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15.3</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约束性</w:t>
            </w:r>
          </w:p>
        </w:tc>
      </w:tr>
      <w:tr>
        <w:tblPrEx>
          <w:tblCellMar>
            <w:top w:w="15" w:type="dxa"/>
            <w:left w:w="15" w:type="dxa"/>
            <w:bottom w:w="15" w:type="dxa"/>
            <w:right w:w="15" w:type="dxa"/>
          </w:tblCellMar>
        </w:tblPrEx>
        <w:trPr>
          <w:trHeight w:val="397"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5</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城镇常住人口保障性住房覆盖率（%）</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22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25</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约束性</w:t>
            </w:r>
          </w:p>
        </w:tc>
      </w:tr>
      <w:tr>
        <w:tblPrEx>
          <w:tblCellMar>
            <w:top w:w="15" w:type="dxa"/>
            <w:left w:w="15" w:type="dxa"/>
            <w:bottom w:w="15" w:type="dxa"/>
            <w:right w:w="15" w:type="dxa"/>
          </w:tblCellMar>
        </w:tblPrEx>
        <w:trPr>
          <w:trHeight w:val="397"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6</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贫困人口发生率（%）</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0</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约束性</w:t>
            </w:r>
          </w:p>
        </w:tc>
      </w:tr>
      <w:tr>
        <w:tblPrEx>
          <w:tblCellMar>
            <w:top w:w="15" w:type="dxa"/>
            <w:left w:w="15" w:type="dxa"/>
            <w:bottom w:w="15" w:type="dxa"/>
            <w:right w:w="15" w:type="dxa"/>
          </w:tblCellMar>
        </w:tblPrEx>
        <w:trPr>
          <w:trHeight w:val="62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bCs/>
                <w:kern w:val="0"/>
                <w:szCs w:val="21"/>
              </w:rPr>
            </w:pPr>
            <w:r>
              <w:rPr>
                <w:rFonts w:ascii="宋体" w:hAnsi="宋体" w:cs="宋体"/>
                <w:bCs/>
                <w:kern w:val="0"/>
                <w:szCs w:val="21"/>
              </w:rPr>
              <w:t>7</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bCs/>
                <w:kern w:val="0"/>
                <w:szCs w:val="21"/>
              </w:rPr>
            </w:pPr>
            <w:r>
              <w:rPr>
                <w:rFonts w:ascii="宋体" w:hAnsi="宋体" w:cs="宋体"/>
                <w:bCs/>
                <w:kern w:val="0"/>
                <w:szCs w:val="21"/>
              </w:rPr>
              <w:t>农村安全饮用水普及率（农村自来水普及率）（%）</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≥100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≥100</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bCs/>
                <w:kern w:val="0"/>
                <w:szCs w:val="21"/>
              </w:rPr>
            </w:pPr>
            <w:r>
              <w:rPr>
                <w:rFonts w:ascii="宋体" w:hAnsi="宋体" w:cs="宋体"/>
                <w:bCs/>
                <w:kern w:val="0"/>
                <w:szCs w:val="21"/>
              </w:rPr>
              <w:t>约束性</w:t>
            </w:r>
          </w:p>
        </w:tc>
      </w:tr>
      <w:tr>
        <w:tblPrEx>
          <w:tblCellMar>
            <w:top w:w="15" w:type="dxa"/>
            <w:left w:w="15" w:type="dxa"/>
            <w:bottom w:w="15" w:type="dxa"/>
            <w:right w:w="15" w:type="dxa"/>
          </w:tblCellMar>
        </w:tblPrEx>
        <w:trPr>
          <w:trHeight w:val="62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8</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年末总人口（万人）</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35（户籍）</w:t>
            </w:r>
          </w:p>
          <w:p>
            <w:pPr>
              <w:widowControl/>
              <w:spacing w:line="320" w:lineRule="exact"/>
              <w:jc w:val="center"/>
              <w:rPr>
                <w:rFonts w:hint="eastAsia" w:ascii="宋体" w:hAnsi="宋体" w:cs="宋体"/>
                <w:kern w:val="0"/>
                <w:szCs w:val="21"/>
              </w:rPr>
            </w:pPr>
            <w:r>
              <w:rPr>
                <w:rFonts w:hint="eastAsia" w:ascii="宋体" w:hAnsi="宋体" w:cs="宋体"/>
                <w:kern w:val="0"/>
                <w:szCs w:val="21"/>
              </w:rPr>
              <w:t>55（常住）</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70（常住）</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5</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454" w:hRule="exact"/>
          <w:jc w:val="center"/>
        </w:trPr>
        <w:tc>
          <w:tcPr>
            <w:tcW w:w="8303"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经  济  发  展</w:t>
            </w:r>
          </w:p>
        </w:tc>
      </w:tr>
      <w:tr>
        <w:tblPrEx>
          <w:tblCellMar>
            <w:top w:w="15" w:type="dxa"/>
            <w:left w:w="15" w:type="dxa"/>
            <w:bottom w:w="15" w:type="dxa"/>
            <w:right w:w="15" w:type="dxa"/>
          </w:tblCellMar>
        </w:tblPrEx>
        <w:trPr>
          <w:trHeight w:val="397" w:hRule="exact"/>
          <w:jc w:val="center"/>
        </w:trPr>
        <w:tc>
          <w:tcPr>
            <w:tcW w:w="580"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9</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地区生产总值（亿元）</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422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610</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7</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397" w:hRule="exact"/>
          <w:jc w:val="center"/>
        </w:trPr>
        <w:tc>
          <w:tcPr>
            <w:tcW w:w="580" w:type="dxa"/>
            <w:vMerge w:val="continue"/>
            <w:tcBorders>
              <w:left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eastAsia" w:ascii="宋体" w:hAnsi="宋体" w:cs="宋体"/>
                <w:kern w:val="0"/>
                <w:szCs w:val="21"/>
              </w:rPr>
            </w:pPr>
            <w:r>
              <w:rPr>
                <w:rFonts w:hint="eastAsia" w:ascii="宋体" w:hAnsi="宋体" w:cs="宋体"/>
                <w:kern w:val="0"/>
                <w:szCs w:val="21"/>
              </w:rPr>
              <w:t>其中：第一产业（亿元）</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32.2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46.5</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7</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397" w:hRule="exact"/>
          <w:jc w:val="center"/>
        </w:trPr>
        <w:tc>
          <w:tcPr>
            <w:tcW w:w="580" w:type="dxa"/>
            <w:vMerge w:val="continue"/>
            <w:tcBorders>
              <w:left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eastAsia" w:ascii="宋体" w:hAnsi="宋体" w:cs="宋体"/>
                <w:kern w:val="0"/>
                <w:szCs w:val="21"/>
              </w:rPr>
            </w:pPr>
            <w:r>
              <w:rPr>
                <w:rFonts w:hint="eastAsia" w:ascii="宋体" w:hAnsi="宋体" w:cs="宋体"/>
                <w:kern w:val="0"/>
                <w:szCs w:val="21"/>
              </w:rPr>
              <w:t xml:space="preserve">      第二产业（亿元）</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315.7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441.5</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6.3</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397" w:hRule="exact"/>
          <w:jc w:val="center"/>
        </w:trPr>
        <w:tc>
          <w:tcPr>
            <w:tcW w:w="580"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eastAsia" w:ascii="宋体" w:hAnsi="宋体" w:cs="宋体"/>
                <w:kern w:val="0"/>
                <w:szCs w:val="21"/>
              </w:rPr>
            </w:pPr>
            <w:r>
              <w:rPr>
                <w:rFonts w:hint="eastAsia" w:ascii="宋体" w:hAnsi="宋体" w:cs="宋体"/>
                <w:kern w:val="0"/>
                <w:szCs w:val="21"/>
              </w:rPr>
              <w:t xml:space="preserve">      第三产业（亿元）</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74.1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122</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9.8</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397"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10</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eastAsia" w:ascii="宋体" w:hAnsi="宋体" w:cs="宋体"/>
                <w:kern w:val="0"/>
                <w:szCs w:val="21"/>
              </w:rPr>
            </w:pPr>
            <w:r>
              <w:rPr>
                <w:rFonts w:hint="eastAsia" w:ascii="宋体" w:hAnsi="宋体" w:cs="宋体"/>
                <w:kern w:val="0"/>
                <w:szCs w:val="21"/>
              </w:rPr>
              <w:t>规模以上工业总产值（亿元</w:t>
            </w:r>
            <w:r>
              <w:rPr>
                <w:rFonts w:ascii="宋体" w:hAnsi="宋体" w:cs="宋体"/>
                <w:kern w:val="0"/>
                <w:szCs w:val="21"/>
              </w:rPr>
              <w:t>）</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1159.4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1550</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6</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397"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11</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eastAsia" w:ascii="宋体" w:hAnsi="宋体" w:cs="宋体"/>
                <w:kern w:val="0"/>
                <w:szCs w:val="21"/>
              </w:rPr>
            </w:pPr>
            <w:r>
              <w:rPr>
                <w:rFonts w:hint="eastAsia" w:ascii="宋体" w:hAnsi="宋体" w:cs="宋体"/>
                <w:kern w:val="0"/>
                <w:szCs w:val="21"/>
              </w:rPr>
              <w:t>固定资产投资（亿元）</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287.1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累计800</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397" w:hRule="exact"/>
          <w:jc w:val="center"/>
        </w:trPr>
        <w:tc>
          <w:tcPr>
            <w:tcW w:w="580"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12</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eastAsia" w:ascii="宋体" w:hAnsi="宋体" w:cs="宋体"/>
                <w:kern w:val="0"/>
                <w:szCs w:val="21"/>
              </w:rPr>
            </w:pPr>
            <w:r>
              <w:rPr>
                <w:rFonts w:hint="eastAsia" w:ascii="宋体" w:hAnsi="宋体" w:cs="宋体"/>
                <w:kern w:val="0"/>
                <w:szCs w:val="21"/>
              </w:rPr>
              <w:t>一般公共预算收入（亿元）</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26.7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36.6</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6.5</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397" w:hRule="exact"/>
          <w:jc w:val="center"/>
        </w:trPr>
        <w:tc>
          <w:tcPr>
            <w:tcW w:w="580"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eastAsia" w:ascii="宋体" w:hAnsi="宋体" w:cs="宋体"/>
                <w:kern w:val="0"/>
                <w:szCs w:val="21"/>
              </w:rPr>
            </w:pPr>
            <w:r>
              <w:rPr>
                <w:rFonts w:hint="eastAsia" w:ascii="宋体" w:hAnsi="宋体" w:cs="宋体"/>
                <w:kern w:val="0"/>
                <w:szCs w:val="21"/>
              </w:rPr>
              <w:t>其中：税收收入（亿元）</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24.7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34.6</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7</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397"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13</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eastAsia" w:ascii="宋体" w:hAnsi="宋体" w:cs="宋体"/>
                <w:kern w:val="0"/>
                <w:szCs w:val="21"/>
              </w:rPr>
            </w:pPr>
            <w:r>
              <w:rPr>
                <w:rFonts w:hint="eastAsia" w:ascii="宋体" w:hAnsi="宋体" w:cs="宋体"/>
                <w:kern w:val="0"/>
                <w:szCs w:val="21"/>
              </w:rPr>
              <w:t>出口总额（万美元）</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60000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84153</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7</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397"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14</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eastAsia" w:ascii="宋体" w:hAnsi="宋体" w:cs="宋体"/>
                <w:kern w:val="0"/>
                <w:szCs w:val="21"/>
              </w:rPr>
            </w:pPr>
            <w:r>
              <w:rPr>
                <w:rFonts w:hint="eastAsia" w:ascii="宋体" w:hAnsi="宋体" w:cs="宋体"/>
                <w:kern w:val="0"/>
                <w:szCs w:val="21"/>
              </w:rPr>
              <w:t>社会消费品零售总额（亿元）</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96.9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156</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10</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680"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5</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全员劳动生产率</w:t>
            </w:r>
          </w:p>
          <w:p>
            <w:pPr>
              <w:widowControl/>
              <w:spacing w:line="320" w:lineRule="exact"/>
              <w:rPr>
                <w:rFonts w:ascii="宋体" w:hAnsi="宋体" w:cs="宋体"/>
                <w:kern w:val="0"/>
                <w:szCs w:val="21"/>
              </w:rPr>
            </w:pPr>
            <w:r>
              <w:rPr>
                <w:rFonts w:ascii="宋体" w:hAnsi="宋体" w:cs="宋体"/>
                <w:kern w:val="0"/>
                <w:szCs w:val="21"/>
              </w:rPr>
              <w:t>（万元/人）</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7.67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8.71</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2.6</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45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6</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服务业增加值比重（%）</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17.6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20</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45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7</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户籍人口城镇化率（%）</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55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80</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62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ascii="宋体" w:hAnsi="宋体" w:cs="宋体"/>
                <w:bCs/>
                <w:kern w:val="0"/>
                <w:szCs w:val="21"/>
              </w:rPr>
              <w:t>1</w:t>
            </w:r>
            <w:r>
              <w:rPr>
                <w:rFonts w:hint="eastAsia" w:ascii="宋体" w:hAnsi="宋体" w:cs="宋体"/>
                <w:bCs/>
                <w:kern w:val="0"/>
                <w:szCs w:val="21"/>
              </w:rPr>
              <w:t>8</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bCs/>
                <w:kern w:val="0"/>
                <w:szCs w:val="21"/>
              </w:rPr>
            </w:pPr>
            <w:r>
              <w:rPr>
                <w:rFonts w:ascii="宋体" w:hAnsi="宋体" w:cs="宋体"/>
                <w:bCs/>
                <w:kern w:val="0"/>
                <w:szCs w:val="21"/>
              </w:rPr>
              <w:t>互联网普及率（固定家庭宽带普及率）（%）</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≥70</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bCs/>
                <w:kern w:val="0"/>
                <w:szCs w:val="21"/>
              </w:rPr>
            </w:pPr>
            <w:r>
              <w:rPr>
                <w:rFonts w:ascii="宋体" w:hAnsi="宋体" w:cs="宋体"/>
                <w:bCs/>
                <w:kern w:val="0"/>
                <w:szCs w:val="21"/>
              </w:rPr>
              <w:t>预期性</w:t>
            </w:r>
          </w:p>
        </w:tc>
      </w:tr>
      <w:tr>
        <w:tblPrEx>
          <w:tblCellMar>
            <w:top w:w="15" w:type="dxa"/>
            <w:left w:w="15" w:type="dxa"/>
            <w:bottom w:w="15" w:type="dxa"/>
            <w:right w:w="15" w:type="dxa"/>
          </w:tblCellMar>
        </w:tblPrEx>
        <w:trPr>
          <w:trHeight w:val="454" w:hRule="exact"/>
          <w:jc w:val="center"/>
        </w:trPr>
        <w:tc>
          <w:tcPr>
            <w:tcW w:w="8303"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创  新  驱  动</w:t>
            </w:r>
          </w:p>
        </w:tc>
      </w:tr>
      <w:tr>
        <w:tblPrEx>
          <w:tblCellMar>
            <w:top w:w="15" w:type="dxa"/>
            <w:left w:w="15" w:type="dxa"/>
            <w:bottom w:w="15" w:type="dxa"/>
            <w:right w:w="15" w:type="dxa"/>
          </w:tblCellMar>
        </w:tblPrEx>
        <w:trPr>
          <w:trHeight w:val="45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9</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科技进步贡献率（%）</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 xml:space="preserve">65 </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80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20</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bCs/>
                <w:kern w:val="0"/>
                <w:szCs w:val="21"/>
              </w:rPr>
            </w:pPr>
            <w:r>
              <w:rPr>
                <w:rFonts w:ascii="宋体" w:hAnsi="宋体" w:cs="宋体"/>
                <w:bCs/>
                <w:kern w:val="0"/>
                <w:szCs w:val="21"/>
              </w:rPr>
              <w:t>科技研发经费投入占地区生产总值比重（%）</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2.5</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bCs/>
                <w:kern w:val="0"/>
                <w:szCs w:val="21"/>
              </w:rPr>
            </w:pPr>
            <w:r>
              <w:rPr>
                <w:rFonts w:ascii="宋体" w:hAnsi="宋体" w:cs="宋体"/>
                <w:bCs/>
                <w:kern w:val="0"/>
                <w:szCs w:val="21"/>
              </w:rPr>
              <w:t>预期性</w:t>
            </w:r>
          </w:p>
        </w:tc>
      </w:tr>
      <w:tr>
        <w:tblPrEx>
          <w:tblCellMar>
            <w:top w:w="15" w:type="dxa"/>
            <w:left w:w="15" w:type="dxa"/>
            <w:bottom w:w="15" w:type="dxa"/>
            <w:right w:w="15" w:type="dxa"/>
          </w:tblCellMar>
        </w:tblPrEx>
        <w:trPr>
          <w:trHeight w:val="454" w:hRule="exact"/>
          <w:jc w:val="center"/>
        </w:trPr>
        <w:tc>
          <w:tcPr>
            <w:tcW w:w="8303"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b/>
                <w:szCs w:val="21"/>
              </w:rPr>
              <w:t>专栏</w:t>
            </w:r>
            <w:r>
              <w:rPr>
                <w:rFonts w:hint="eastAsia" w:ascii="宋体" w:hAnsi="宋体"/>
                <w:b/>
                <w:szCs w:val="21"/>
              </w:rPr>
              <w:t>2</w:t>
            </w:r>
            <w:r>
              <w:rPr>
                <w:rFonts w:ascii="宋体" w:hAnsi="宋体"/>
                <w:b/>
                <w:szCs w:val="21"/>
              </w:rPr>
              <w:t>：“十三五”时期经济社会主要指标</w:t>
            </w:r>
          </w:p>
        </w:tc>
      </w:tr>
      <w:tr>
        <w:tblPrEx>
          <w:tblCellMar>
            <w:top w:w="15" w:type="dxa"/>
            <w:left w:w="15" w:type="dxa"/>
            <w:bottom w:w="15" w:type="dxa"/>
            <w:right w:w="15" w:type="dxa"/>
          </w:tblCellMar>
        </w:tblPrEx>
        <w:trPr>
          <w:trHeight w:val="65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序号</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指标</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ascii="宋体" w:hAnsi="宋体" w:cs="宋体"/>
                <w:kern w:val="0"/>
                <w:szCs w:val="21"/>
              </w:rPr>
              <w:t>2015年</w:t>
            </w:r>
          </w:p>
          <w:p>
            <w:pPr>
              <w:widowControl/>
              <w:spacing w:line="320" w:lineRule="exact"/>
              <w:jc w:val="center"/>
              <w:rPr>
                <w:rFonts w:ascii="宋体" w:hAnsi="宋体" w:cs="宋体"/>
                <w:kern w:val="0"/>
                <w:szCs w:val="21"/>
              </w:rPr>
            </w:pPr>
            <w:r>
              <w:rPr>
                <w:rFonts w:ascii="宋体" w:hAnsi="宋体" w:cs="宋体"/>
                <w:kern w:val="0"/>
                <w:szCs w:val="21"/>
              </w:rPr>
              <w:t>基数</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ascii="宋体" w:hAnsi="宋体" w:cs="宋体"/>
                <w:kern w:val="0"/>
                <w:szCs w:val="21"/>
              </w:rPr>
              <w:t>2020年</w:t>
            </w:r>
          </w:p>
          <w:p>
            <w:pPr>
              <w:widowControl/>
              <w:spacing w:line="320" w:lineRule="exact"/>
              <w:jc w:val="center"/>
              <w:rPr>
                <w:rFonts w:ascii="宋体" w:hAnsi="宋体" w:cs="宋体"/>
                <w:kern w:val="0"/>
                <w:szCs w:val="21"/>
              </w:rPr>
            </w:pPr>
            <w:r>
              <w:rPr>
                <w:rFonts w:ascii="宋体" w:hAnsi="宋体" w:cs="宋体"/>
                <w:kern w:val="0"/>
                <w:szCs w:val="21"/>
              </w:rPr>
              <w:t>目标值</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kern w:val="0"/>
                <w:szCs w:val="21"/>
                <w:lang w:eastAsia="zh-CN"/>
              </w:rPr>
            </w:pPr>
            <w:r>
              <w:rPr>
                <w:rFonts w:ascii="宋体" w:hAnsi="宋体" w:cs="宋体"/>
                <w:kern w:val="0"/>
                <w:szCs w:val="21"/>
              </w:rPr>
              <w:t>累计或年均</w:t>
            </w:r>
          </w:p>
          <w:p>
            <w:pPr>
              <w:widowControl/>
              <w:spacing w:line="320" w:lineRule="exact"/>
              <w:jc w:val="center"/>
              <w:rPr>
                <w:rFonts w:ascii="宋体" w:hAnsi="宋体" w:cs="宋体"/>
                <w:kern w:val="0"/>
                <w:szCs w:val="21"/>
              </w:rPr>
            </w:pPr>
            <w:r>
              <w:rPr>
                <w:rFonts w:ascii="宋体" w:hAnsi="宋体" w:cs="宋体"/>
                <w:kern w:val="0"/>
                <w:szCs w:val="21"/>
              </w:rPr>
              <w:t>增长（%）</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属性</w:t>
            </w:r>
          </w:p>
        </w:tc>
      </w:tr>
      <w:tr>
        <w:tblPrEx>
          <w:tblCellMar>
            <w:top w:w="15" w:type="dxa"/>
            <w:left w:w="15" w:type="dxa"/>
            <w:bottom w:w="15" w:type="dxa"/>
            <w:right w:w="15" w:type="dxa"/>
          </w:tblCellMar>
        </w:tblPrEx>
        <w:trPr>
          <w:trHeight w:val="454" w:hRule="exact"/>
          <w:jc w:val="center"/>
        </w:trPr>
        <w:tc>
          <w:tcPr>
            <w:tcW w:w="8303"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生  态  文  明</w:t>
            </w:r>
          </w:p>
        </w:tc>
      </w:tr>
      <w:tr>
        <w:tblPrEx>
          <w:tblCellMar>
            <w:top w:w="15" w:type="dxa"/>
            <w:left w:w="15" w:type="dxa"/>
            <w:bottom w:w="15" w:type="dxa"/>
            <w:right w:w="15" w:type="dxa"/>
          </w:tblCellMar>
        </w:tblPrEx>
        <w:trPr>
          <w:trHeight w:val="45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21</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耕地保有量（万亩）</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64.8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64.8</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约束性</w:t>
            </w:r>
          </w:p>
        </w:tc>
      </w:tr>
      <w:tr>
        <w:tblPrEx>
          <w:tblCellMar>
            <w:top w:w="15" w:type="dxa"/>
            <w:left w:w="15" w:type="dxa"/>
            <w:bottom w:w="15" w:type="dxa"/>
            <w:right w:w="15" w:type="dxa"/>
          </w:tblCellMar>
        </w:tblPrEx>
        <w:trPr>
          <w:trHeight w:val="45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22</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万元地区生产总值用水量（立方米）</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38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≤29</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-4.5</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约束性</w:t>
            </w:r>
          </w:p>
        </w:tc>
      </w:tr>
      <w:tr>
        <w:tblPrEx>
          <w:tblCellMar>
            <w:top w:w="15" w:type="dxa"/>
            <w:left w:w="15" w:type="dxa"/>
            <w:bottom w:w="15" w:type="dxa"/>
            <w:right w:w="15" w:type="dxa"/>
          </w:tblCellMar>
        </w:tblPrEx>
        <w:trPr>
          <w:trHeight w:val="45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23</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单位地区生产总值能源消耗降低（%）</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2.5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累计下降15</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约束性</w:t>
            </w:r>
          </w:p>
        </w:tc>
      </w:tr>
      <w:tr>
        <w:tblPrEx>
          <w:tblCellMar>
            <w:top w:w="15" w:type="dxa"/>
            <w:left w:w="15" w:type="dxa"/>
            <w:bottom w:w="15" w:type="dxa"/>
            <w:right w:w="15" w:type="dxa"/>
          </w:tblCellMar>
        </w:tblPrEx>
        <w:trPr>
          <w:trHeight w:val="737"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24</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单位地区生产总值二氧化碳排放降低（%）</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2.6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累计下降16</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约束性</w:t>
            </w:r>
          </w:p>
        </w:tc>
      </w:tr>
      <w:tr>
        <w:tblPrEx>
          <w:tblCellMar>
            <w:top w:w="15" w:type="dxa"/>
            <w:left w:w="15" w:type="dxa"/>
            <w:bottom w:w="15" w:type="dxa"/>
            <w:right w:w="15" w:type="dxa"/>
          </w:tblCellMar>
        </w:tblPrEx>
        <w:trPr>
          <w:trHeight w:val="567"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ascii="宋体" w:hAnsi="宋体" w:cs="宋体"/>
                <w:kern w:val="0"/>
                <w:szCs w:val="21"/>
              </w:rPr>
              <w:t>2</w:t>
            </w:r>
            <w:r>
              <w:rPr>
                <w:rFonts w:hint="eastAsia" w:ascii="宋体" w:hAnsi="宋体" w:cs="宋体"/>
                <w:kern w:val="0"/>
                <w:szCs w:val="21"/>
              </w:rPr>
              <w:t>5</w:t>
            </w: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kern w:val="0"/>
                <w:szCs w:val="21"/>
                <w:lang w:eastAsia="zh-CN"/>
              </w:rPr>
            </w:pPr>
            <w:r>
              <w:rPr>
                <w:rFonts w:ascii="宋体" w:hAnsi="宋体" w:cs="宋体"/>
                <w:kern w:val="0"/>
                <w:szCs w:val="21"/>
              </w:rPr>
              <w:t>森</w:t>
            </w:r>
          </w:p>
          <w:p>
            <w:pPr>
              <w:widowControl/>
              <w:spacing w:line="300" w:lineRule="exact"/>
              <w:jc w:val="center"/>
              <w:rPr>
                <w:rFonts w:hint="eastAsia" w:ascii="宋体" w:hAnsi="宋体" w:eastAsia="宋体" w:cs="宋体"/>
                <w:kern w:val="0"/>
                <w:szCs w:val="21"/>
                <w:lang w:eastAsia="zh-CN"/>
              </w:rPr>
            </w:pPr>
            <w:r>
              <w:rPr>
                <w:rFonts w:ascii="宋体" w:hAnsi="宋体" w:cs="宋体"/>
                <w:kern w:val="0"/>
                <w:szCs w:val="21"/>
              </w:rPr>
              <w:t>林</w:t>
            </w:r>
          </w:p>
          <w:p>
            <w:pPr>
              <w:widowControl/>
              <w:spacing w:line="300" w:lineRule="exact"/>
              <w:jc w:val="center"/>
              <w:rPr>
                <w:rFonts w:hint="eastAsia" w:ascii="宋体" w:hAnsi="宋体" w:eastAsia="宋体" w:cs="宋体"/>
                <w:kern w:val="0"/>
                <w:szCs w:val="21"/>
                <w:lang w:eastAsia="zh-CN"/>
              </w:rPr>
            </w:pPr>
            <w:r>
              <w:rPr>
                <w:rFonts w:ascii="宋体" w:hAnsi="宋体" w:cs="宋体"/>
                <w:kern w:val="0"/>
                <w:szCs w:val="21"/>
              </w:rPr>
              <w:t>发</w:t>
            </w:r>
          </w:p>
          <w:p>
            <w:pPr>
              <w:widowControl/>
              <w:spacing w:line="300" w:lineRule="exact"/>
              <w:jc w:val="center"/>
              <w:rPr>
                <w:rFonts w:ascii="宋体" w:hAnsi="宋体" w:cs="宋体"/>
                <w:kern w:val="0"/>
                <w:szCs w:val="21"/>
              </w:rPr>
            </w:pPr>
            <w:r>
              <w:rPr>
                <w:rFonts w:ascii="宋体" w:hAnsi="宋体" w:cs="宋体"/>
                <w:kern w:val="0"/>
                <w:szCs w:val="21"/>
              </w:rPr>
              <w:t>展</w:t>
            </w:r>
          </w:p>
        </w:tc>
        <w:tc>
          <w:tcPr>
            <w:tcW w:w="28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森林覆盖率（%）</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31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31</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约束性</w:t>
            </w:r>
          </w:p>
        </w:tc>
      </w:tr>
      <w:tr>
        <w:tblPrEx>
          <w:tblCellMar>
            <w:top w:w="15" w:type="dxa"/>
            <w:left w:w="15" w:type="dxa"/>
            <w:bottom w:w="15" w:type="dxa"/>
            <w:right w:w="15" w:type="dxa"/>
          </w:tblCellMar>
        </w:tblPrEx>
        <w:trPr>
          <w:trHeight w:val="567"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ascii="宋体" w:hAnsi="宋体" w:cs="宋体"/>
                <w:kern w:val="0"/>
                <w:szCs w:val="21"/>
              </w:rPr>
              <w:t>2</w:t>
            </w:r>
            <w:r>
              <w:rPr>
                <w:rFonts w:hint="eastAsia" w:ascii="宋体" w:hAnsi="宋体" w:cs="宋体"/>
                <w:kern w:val="0"/>
                <w:szCs w:val="21"/>
              </w:rPr>
              <w:t>6</w:t>
            </w: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p>
        </w:tc>
        <w:tc>
          <w:tcPr>
            <w:tcW w:w="28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森林蓄积量（亿立方米）</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0.14</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约束性</w:t>
            </w:r>
          </w:p>
        </w:tc>
      </w:tr>
      <w:tr>
        <w:tblPrEx>
          <w:tblCellMar>
            <w:top w:w="15" w:type="dxa"/>
            <w:left w:w="15" w:type="dxa"/>
            <w:bottom w:w="15" w:type="dxa"/>
            <w:right w:w="15" w:type="dxa"/>
          </w:tblCellMar>
        </w:tblPrEx>
        <w:trPr>
          <w:trHeight w:val="45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ascii="宋体" w:hAnsi="宋体" w:cs="宋体"/>
                <w:kern w:val="0"/>
                <w:szCs w:val="21"/>
              </w:rPr>
              <w:t>2</w:t>
            </w:r>
            <w:r>
              <w:rPr>
                <w:rFonts w:hint="eastAsia" w:ascii="宋体" w:hAnsi="宋体" w:cs="宋体"/>
                <w:kern w:val="0"/>
                <w:szCs w:val="21"/>
              </w:rPr>
              <w:t>7</w:t>
            </w: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kern w:val="0"/>
                <w:szCs w:val="21"/>
                <w:lang w:eastAsia="zh-CN"/>
              </w:rPr>
            </w:pPr>
            <w:r>
              <w:rPr>
                <w:rFonts w:ascii="宋体" w:hAnsi="宋体" w:cs="宋体"/>
                <w:kern w:val="0"/>
                <w:szCs w:val="21"/>
              </w:rPr>
              <w:t>空</w:t>
            </w:r>
          </w:p>
          <w:p>
            <w:pPr>
              <w:widowControl/>
              <w:spacing w:line="320" w:lineRule="exact"/>
              <w:jc w:val="center"/>
              <w:rPr>
                <w:rFonts w:hint="eastAsia" w:ascii="宋体" w:hAnsi="宋体" w:eastAsia="宋体" w:cs="宋体"/>
                <w:kern w:val="0"/>
                <w:szCs w:val="21"/>
                <w:lang w:eastAsia="zh-CN"/>
              </w:rPr>
            </w:pPr>
            <w:r>
              <w:rPr>
                <w:rFonts w:ascii="宋体" w:hAnsi="宋体" w:cs="宋体"/>
                <w:kern w:val="0"/>
                <w:szCs w:val="21"/>
              </w:rPr>
              <w:t>气</w:t>
            </w:r>
          </w:p>
          <w:p>
            <w:pPr>
              <w:widowControl/>
              <w:spacing w:line="320" w:lineRule="exact"/>
              <w:jc w:val="center"/>
              <w:rPr>
                <w:rFonts w:hint="eastAsia" w:ascii="宋体" w:hAnsi="宋体" w:eastAsia="宋体" w:cs="宋体"/>
                <w:kern w:val="0"/>
                <w:szCs w:val="21"/>
                <w:lang w:eastAsia="zh-CN"/>
              </w:rPr>
            </w:pPr>
            <w:r>
              <w:rPr>
                <w:rFonts w:ascii="宋体" w:hAnsi="宋体" w:cs="宋体"/>
                <w:kern w:val="0"/>
                <w:szCs w:val="21"/>
              </w:rPr>
              <w:t>质</w:t>
            </w:r>
          </w:p>
          <w:p>
            <w:pPr>
              <w:widowControl/>
              <w:spacing w:line="320" w:lineRule="exact"/>
              <w:jc w:val="center"/>
              <w:rPr>
                <w:rFonts w:ascii="宋体" w:hAnsi="宋体" w:cs="宋体"/>
                <w:kern w:val="0"/>
                <w:szCs w:val="21"/>
              </w:rPr>
            </w:pPr>
            <w:r>
              <w:rPr>
                <w:rFonts w:ascii="宋体" w:hAnsi="宋体" w:cs="宋体"/>
                <w:kern w:val="0"/>
                <w:szCs w:val="21"/>
              </w:rPr>
              <w:t>量</w:t>
            </w:r>
          </w:p>
        </w:tc>
        <w:tc>
          <w:tcPr>
            <w:tcW w:w="28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城市空气质量达标率（%）</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52.43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79.45</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5.4</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约束性</w:t>
            </w:r>
          </w:p>
        </w:tc>
      </w:tr>
      <w:tr>
        <w:tblPrEx>
          <w:tblCellMar>
            <w:top w:w="15" w:type="dxa"/>
            <w:left w:w="15" w:type="dxa"/>
            <w:bottom w:w="15" w:type="dxa"/>
            <w:right w:w="15" w:type="dxa"/>
          </w:tblCellMar>
        </w:tblPrEx>
        <w:trPr>
          <w:trHeight w:val="737"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ascii="宋体" w:hAnsi="宋体" w:cs="宋体"/>
                <w:kern w:val="0"/>
                <w:szCs w:val="21"/>
              </w:rPr>
              <w:t>2</w:t>
            </w:r>
            <w:r>
              <w:rPr>
                <w:rFonts w:hint="eastAsia" w:ascii="宋体" w:hAnsi="宋体" w:cs="宋体"/>
                <w:kern w:val="0"/>
                <w:szCs w:val="21"/>
              </w:rPr>
              <w:t>8</w:t>
            </w: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p>
        </w:tc>
        <w:tc>
          <w:tcPr>
            <w:tcW w:w="28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城市细颗粒（PM2.5）浓度下降（%）</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10.8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 xml:space="preserve">≥15 </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约束性</w:t>
            </w:r>
          </w:p>
        </w:tc>
      </w:tr>
      <w:tr>
        <w:tblPrEx>
          <w:tblCellMar>
            <w:top w:w="15" w:type="dxa"/>
            <w:left w:w="15" w:type="dxa"/>
            <w:bottom w:w="15" w:type="dxa"/>
            <w:right w:w="15" w:type="dxa"/>
          </w:tblCellMar>
        </w:tblPrEx>
        <w:trPr>
          <w:trHeight w:val="45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ascii="宋体" w:hAnsi="宋体" w:cs="宋体"/>
                <w:kern w:val="0"/>
                <w:szCs w:val="21"/>
              </w:rPr>
              <w:t>2</w:t>
            </w:r>
            <w:r>
              <w:rPr>
                <w:rFonts w:hint="eastAsia" w:ascii="宋体" w:hAnsi="宋体" w:cs="宋体"/>
                <w:kern w:val="0"/>
                <w:szCs w:val="21"/>
              </w:rPr>
              <w:t>9</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辽河流域水质达标率（%）</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83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100</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约束性</w:t>
            </w:r>
          </w:p>
        </w:tc>
      </w:tr>
      <w:tr>
        <w:tblPrEx>
          <w:tblCellMar>
            <w:top w:w="15" w:type="dxa"/>
            <w:left w:w="15" w:type="dxa"/>
            <w:bottom w:w="15" w:type="dxa"/>
            <w:right w:w="15" w:type="dxa"/>
          </w:tblCellMar>
        </w:tblPrEx>
        <w:trPr>
          <w:trHeight w:val="454" w:hRule="exact"/>
          <w:jc w:val="center"/>
        </w:trPr>
        <w:tc>
          <w:tcPr>
            <w:tcW w:w="8303"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社  会  治  理</w:t>
            </w:r>
          </w:p>
        </w:tc>
      </w:tr>
      <w:tr>
        <w:tblPrEx>
          <w:tblCellMar>
            <w:top w:w="15" w:type="dxa"/>
            <w:left w:w="15" w:type="dxa"/>
            <w:bottom w:w="15" w:type="dxa"/>
            <w:right w:w="15" w:type="dxa"/>
          </w:tblCellMar>
        </w:tblPrEx>
        <w:trPr>
          <w:trHeight w:val="454" w:hRule="exac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30</w:t>
            </w:r>
          </w:p>
        </w:tc>
        <w:tc>
          <w:tcPr>
            <w:tcW w:w="32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bCs/>
                <w:kern w:val="0"/>
                <w:szCs w:val="21"/>
              </w:rPr>
            </w:pPr>
            <w:r>
              <w:rPr>
                <w:rFonts w:ascii="宋体" w:hAnsi="宋体" w:cs="宋体"/>
                <w:bCs/>
                <w:kern w:val="0"/>
                <w:szCs w:val="21"/>
              </w:rPr>
              <w:t>基层民主参选率（%）</w:t>
            </w:r>
          </w:p>
        </w:tc>
        <w:tc>
          <w:tcPr>
            <w:tcW w:w="12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80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≥95</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bCs/>
                <w:kern w:val="0"/>
                <w:szCs w:val="21"/>
              </w:rPr>
            </w:pPr>
            <w:r>
              <w:rPr>
                <w:rFonts w:hint="eastAsia" w:ascii="宋体" w:hAnsi="宋体" w:cs="宋体"/>
                <w:bCs/>
                <w:kern w:val="0"/>
                <w:szCs w:val="21"/>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bCs/>
                <w:kern w:val="0"/>
                <w:szCs w:val="21"/>
              </w:rPr>
            </w:pPr>
            <w:r>
              <w:rPr>
                <w:rFonts w:ascii="宋体" w:hAnsi="宋体" w:cs="宋体"/>
                <w:bCs/>
                <w:kern w:val="0"/>
                <w:szCs w:val="21"/>
              </w:rPr>
              <w:t>预期性</w:t>
            </w:r>
          </w:p>
        </w:tc>
      </w:tr>
      <w:tr>
        <w:tblPrEx>
          <w:tblCellMar>
            <w:top w:w="15" w:type="dxa"/>
            <w:left w:w="15" w:type="dxa"/>
            <w:bottom w:w="15" w:type="dxa"/>
            <w:right w:w="15" w:type="dxa"/>
          </w:tblCellMar>
        </w:tblPrEx>
        <w:trPr>
          <w:trHeight w:val="454" w:hRule="exact"/>
          <w:jc w:val="center"/>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31</w:t>
            </w:r>
          </w:p>
        </w:tc>
        <w:tc>
          <w:tcPr>
            <w:tcW w:w="328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ascii="宋体" w:hAnsi="宋体" w:cs="宋体"/>
                <w:kern w:val="0"/>
                <w:szCs w:val="21"/>
              </w:rPr>
            </w:pPr>
            <w:r>
              <w:rPr>
                <w:rFonts w:ascii="宋体" w:hAnsi="宋体" w:cs="宋体"/>
                <w:kern w:val="0"/>
                <w:szCs w:val="21"/>
              </w:rPr>
              <w:t>注册志愿者人数占居民人口比例（%）</w:t>
            </w:r>
          </w:p>
        </w:tc>
        <w:tc>
          <w:tcPr>
            <w:tcW w:w="1260"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16</w:t>
            </w:r>
          </w:p>
        </w:tc>
        <w:tc>
          <w:tcPr>
            <w:tcW w:w="111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w:t>
            </w:r>
          </w:p>
        </w:tc>
        <w:tc>
          <w:tcPr>
            <w:tcW w:w="9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cs="宋体"/>
                <w:kern w:val="0"/>
                <w:szCs w:val="21"/>
              </w:rPr>
            </w:pPr>
            <w:r>
              <w:rPr>
                <w:rFonts w:ascii="宋体" w:hAnsi="宋体" w:cs="宋体"/>
                <w:kern w:val="0"/>
                <w:szCs w:val="21"/>
              </w:rPr>
              <w:t>预期性</w:t>
            </w:r>
          </w:p>
        </w:tc>
      </w:tr>
      <w:tr>
        <w:tblPrEx>
          <w:tblCellMar>
            <w:top w:w="15" w:type="dxa"/>
            <w:left w:w="15" w:type="dxa"/>
            <w:bottom w:w="15" w:type="dxa"/>
            <w:right w:w="15" w:type="dxa"/>
          </w:tblCellMar>
        </w:tblPrEx>
        <w:trPr>
          <w:trHeight w:val="105" w:hRule="exact"/>
          <w:jc w:val="center"/>
        </w:trPr>
        <w:tc>
          <w:tcPr>
            <w:tcW w:w="58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left"/>
              <w:rPr>
                <w:rFonts w:ascii="宋体" w:hAnsi="宋体" w:cs="宋体"/>
                <w:kern w:val="0"/>
                <w:szCs w:val="21"/>
              </w:rPr>
            </w:pPr>
          </w:p>
        </w:tc>
        <w:tc>
          <w:tcPr>
            <w:tcW w:w="3288" w:type="dxa"/>
            <w:gridSpan w:val="3"/>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left"/>
              <w:rPr>
                <w:rFonts w:ascii="宋体" w:hAnsi="宋体" w:cs="宋体"/>
                <w:kern w:val="0"/>
                <w:szCs w:val="21"/>
              </w:rPr>
            </w:pPr>
          </w:p>
        </w:tc>
        <w:tc>
          <w:tcPr>
            <w:tcW w:w="1260" w:type="dxa"/>
            <w:gridSpan w:val="3"/>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left"/>
              <w:rPr>
                <w:rFonts w:ascii="宋体" w:hAnsi="宋体" w:cs="宋体"/>
                <w:kern w:val="0"/>
                <w:szCs w:val="21"/>
              </w:rPr>
            </w:pPr>
          </w:p>
        </w:tc>
        <w:tc>
          <w:tcPr>
            <w:tcW w:w="108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left"/>
              <w:rPr>
                <w:rFonts w:ascii="宋体" w:hAnsi="宋体" w:cs="宋体"/>
                <w:kern w:val="0"/>
                <w:szCs w:val="21"/>
              </w:rPr>
            </w:pPr>
          </w:p>
        </w:tc>
        <w:tc>
          <w:tcPr>
            <w:tcW w:w="1116" w:type="dxa"/>
            <w:gridSpan w:val="2"/>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left"/>
              <w:rPr>
                <w:rFonts w:ascii="宋体" w:hAnsi="宋体" w:cs="宋体"/>
                <w:kern w:val="0"/>
                <w:szCs w:val="21"/>
              </w:rPr>
            </w:pPr>
          </w:p>
        </w:tc>
        <w:tc>
          <w:tcPr>
            <w:tcW w:w="979"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left"/>
              <w:rPr>
                <w:rFonts w:ascii="宋体" w:hAnsi="宋体" w:cs="宋体"/>
                <w:kern w:val="0"/>
                <w:szCs w:val="21"/>
              </w:rPr>
            </w:pPr>
          </w:p>
        </w:tc>
      </w:tr>
      <w:tr>
        <w:tblPrEx>
          <w:tblCellMar>
            <w:top w:w="0" w:type="dxa"/>
            <w:left w:w="108" w:type="dxa"/>
            <w:bottom w:w="0" w:type="dxa"/>
            <w:right w:w="108" w:type="dxa"/>
          </w:tblCellMar>
        </w:tblPrEx>
        <w:trPr>
          <w:trHeight w:val="454" w:hRule="exact"/>
          <w:jc w:val="center"/>
        </w:trPr>
        <w:tc>
          <w:tcPr>
            <w:tcW w:w="8303" w:type="dxa"/>
            <w:gridSpan w:val="11"/>
            <w:tcBorders>
              <w:top w:val="single" w:color="auto" w:sz="4" w:space="0"/>
              <w:bottom w:val="single" w:color="auto" w:sz="4" w:space="0"/>
            </w:tcBorders>
            <w:noWrap w:val="0"/>
            <w:vAlign w:val="center"/>
          </w:tcPr>
          <w:p>
            <w:pPr>
              <w:widowControl/>
              <w:spacing w:line="320" w:lineRule="exact"/>
              <w:jc w:val="center"/>
              <w:rPr>
                <w:rFonts w:hint="eastAsia" w:ascii="宋体" w:hAnsi="宋体" w:cs="宋体"/>
                <w:b/>
                <w:kern w:val="0"/>
                <w:szCs w:val="21"/>
              </w:rPr>
            </w:pPr>
          </w:p>
        </w:tc>
      </w:tr>
      <w:tr>
        <w:tblPrEx>
          <w:tblCellMar>
            <w:top w:w="0" w:type="dxa"/>
            <w:left w:w="108" w:type="dxa"/>
            <w:bottom w:w="0" w:type="dxa"/>
            <w:right w:w="108" w:type="dxa"/>
          </w:tblCellMar>
        </w:tblPrEx>
        <w:trPr>
          <w:trHeight w:val="454" w:hRule="exact"/>
          <w:jc w:val="center"/>
        </w:trPr>
        <w:tc>
          <w:tcPr>
            <w:tcW w:w="830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b/>
                <w:kern w:val="0"/>
                <w:szCs w:val="21"/>
              </w:rPr>
            </w:pPr>
            <w:r>
              <w:rPr>
                <w:rFonts w:hint="eastAsia" w:ascii="宋体" w:hAnsi="宋体" w:cs="宋体"/>
                <w:b/>
                <w:kern w:val="0"/>
                <w:szCs w:val="21"/>
              </w:rPr>
              <w:t>专栏3：2017年全面建成小康社会指标</w:t>
            </w:r>
          </w:p>
        </w:tc>
      </w:tr>
      <w:tr>
        <w:tblPrEx>
          <w:tblCellMar>
            <w:top w:w="0" w:type="dxa"/>
            <w:left w:w="108" w:type="dxa"/>
            <w:bottom w:w="0" w:type="dxa"/>
            <w:right w:w="108" w:type="dxa"/>
          </w:tblCellMar>
        </w:tblPrEx>
        <w:trPr>
          <w:trHeight w:val="454"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指标</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单位</w:t>
            </w:r>
          </w:p>
        </w:tc>
        <w:tc>
          <w:tcPr>
            <w:tcW w:w="1810" w:type="dxa"/>
            <w:gridSpan w:val="4"/>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目标值</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2017年</w:t>
            </w:r>
          </w:p>
        </w:tc>
      </w:tr>
      <w:tr>
        <w:tblPrEx>
          <w:tblCellMar>
            <w:top w:w="0" w:type="dxa"/>
            <w:left w:w="108" w:type="dxa"/>
            <w:bottom w:w="0" w:type="dxa"/>
            <w:right w:w="108" w:type="dxa"/>
          </w:tblCellMar>
        </w:tblPrEx>
        <w:trPr>
          <w:trHeight w:val="454" w:hRule="exact"/>
          <w:jc w:val="center"/>
        </w:trPr>
        <w:tc>
          <w:tcPr>
            <w:tcW w:w="830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一、经济发展</w:t>
            </w:r>
          </w:p>
        </w:tc>
      </w:tr>
      <w:tr>
        <w:tblPrEx>
          <w:tblCellMar>
            <w:top w:w="0" w:type="dxa"/>
            <w:left w:w="108" w:type="dxa"/>
            <w:bottom w:w="0" w:type="dxa"/>
            <w:right w:w="108" w:type="dxa"/>
          </w:tblCellMar>
        </w:tblPrEx>
        <w:trPr>
          <w:trHeight w:val="454"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1.人均GDP</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元</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≥57000</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ind w:firstLine="210" w:firstLineChars="100"/>
              <w:rPr>
                <w:rFonts w:hint="eastAsia" w:ascii="宋体" w:hAnsi="宋体" w:cs="宋体"/>
                <w:kern w:val="0"/>
                <w:szCs w:val="21"/>
              </w:rPr>
            </w:pPr>
            <w:r>
              <w:rPr>
                <w:rFonts w:hint="eastAsia" w:ascii="宋体" w:hAnsi="宋体" w:cs="宋体"/>
                <w:kern w:val="0"/>
                <w:szCs w:val="21"/>
              </w:rPr>
              <w:t>≥80000</w:t>
            </w:r>
          </w:p>
        </w:tc>
      </w:tr>
      <w:tr>
        <w:tblPrEx>
          <w:tblCellMar>
            <w:top w:w="0" w:type="dxa"/>
            <w:left w:w="108" w:type="dxa"/>
            <w:bottom w:w="0" w:type="dxa"/>
            <w:right w:w="108" w:type="dxa"/>
          </w:tblCellMar>
        </w:tblPrEx>
        <w:trPr>
          <w:trHeight w:val="454"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2.第三产业增加值占GDP比重</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≥47</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≥20</w:t>
            </w:r>
          </w:p>
        </w:tc>
      </w:tr>
      <w:tr>
        <w:tblPrEx>
          <w:tblCellMar>
            <w:top w:w="0" w:type="dxa"/>
            <w:left w:w="108" w:type="dxa"/>
            <w:bottom w:w="0" w:type="dxa"/>
            <w:right w:w="108" w:type="dxa"/>
          </w:tblCellMar>
        </w:tblPrEx>
        <w:trPr>
          <w:trHeight w:val="454"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3.R&amp;D经费支出占GDP比重</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≥2.5</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≥2.5</w:t>
            </w:r>
          </w:p>
        </w:tc>
      </w:tr>
      <w:tr>
        <w:tblPrEx>
          <w:tblCellMar>
            <w:top w:w="0" w:type="dxa"/>
            <w:left w:w="108" w:type="dxa"/>
            <w:bottom w:w="0" w:type="dxa"/>
            <w:right w:w="108" w:type="dxa"/>
          </w:tblCellMar>
        </w:tblPrEx>
        <w:trPr>
          <w:trHeight w:val="454"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4.工业劳动生产率（规上）</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万元/人</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≥12</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≥20</w:t>
            </w:r>
          </w:p>
        </w:tc>
      </w:tr>
      <w:tr>
        <w:tblPrEx>
          <w:tblCellMar>
            <w:top w:w="0" w:type="dxa"/>
            <w:left w:w="108" w:type="dxa"/>
            <w:bottom w:w="0" w:type="dxa"/>
            <w:right w:w="108" w:type="dxa"/>
          </w:tblCellMar>
        </w:tblPrEx>
        <w:trPr>
          <w:trHeight w:val="624"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5.互联网普及率（固定宽带家庭普及率替代）</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≥50</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≥60</w:t>
            </w:r>
          </w:p>
        </w:tc>
      </w:tr>
      <w:tr>
        <w:tblPrEx>
          <w:tblCellMar>
            <w:top w:w="0" w:type="dxa"/>
            <w:left w:w="108" w:type="dxa"/>
            <w:bottom w:w="0" w:type="dxa"/>
            <w:right w:w="108" w:type="dxa"/>
          </w:tblCellMar>
        </w:tblPrEx>
        <w:trPr>
          <w:trHeight w:val="454"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6.城镇人口比重</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≥60</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≥85</w:t>
            </w:r>
          </w:p>
        </w:tc>
      </w:tr>
      <w:tr>
        <w:tblPrEx>
          <w:tblCellMar>
            <w:top w:w="0" w:type="dxa"/>
            <w:left w:w="108" w:type="dxa"/>
            <w:bottom w:w="0" w:type="dxa"/>
            <w:right w:w="108" w:type="dxa"/>
          </w:tblCellMar>
        </w:tblPrEx>
        <w:trPr>
          <w:trHeight w:val="454"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7.第一产业劳动生产率</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万元/人</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≥3</w:t>
            </w:r>
          </w:p>
        </w:tc>
      </w:tr>
      <w:tr>
        <w:tblPrEx>
          <w:tblCellMar>
            <w:top w:w="0" w:type="dxa"/>
            <w:left w:w="108" w:type="dxa"/>
            <w:bottom w:w="0" w:type="dxa"/>
            <w:right w:w="108" w:type="dxa"/>
          </w:tblCellMar>
        </w:tblPrEx>
        <w:trPr>
          <w:trHeight w:val="454" w:hRule="exact"/>
          <w:jc w:val="center"/>
        </w:trPr>
        <w:tc>
          <w:tcPr>
            <w:tcW w:w="830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b/>
                <w:kern w:val="0"/>
                <w:szCs w:val="21"/>
              </w:rPr>
            </w:pPr>
            <w:r>
              <w:rPr>
                <w:rFonts w:hint="eastAsia" w:ascii="宋体" w:hAnsi="宋体" w:cs="宋体"/>
                <w:b/>
                <w:kern w:val="0"/>
                <w:szCs w:val="21"/>
              </w:rPr>
              <w:t>专栏3：2017年全面建成小康社会指标</w:t>
            </w:r>
          </w:p>
        </w:tc>
      </w:tr>
      <w:tr>
        <w:tblPrEx>
          <w:tblCellMar>
            <w:top w:w="0" w:type="dxa"/>
            <w:left w:w="108" w:type="dxa"/>
            <w:bottom w:w="0" w:type="dxa"/>
            <w:right w:w="108" w:type="dxa"/>
          </w:tblCellMar>
        </w:tblPrEx>
        <w:trPr>
          <w:trHeight w:val="454"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指标</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单位</w:t>
            </w:r>
          </w:p>
        </w:tc>
        <w:tc>
          <w:tcPr>
            <w:tcW w:w="1810" w:type="dxa"/>
            <w:gridSpan w:val="4"/>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目标值</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2017年</w:t>
            </w:r>
          </w:p>
        </w:tc>
      </w:tr>
      <w:tr>
        <w:tblPrEx>
          <w:tblCellMar>
            <w:top w:w="0" w:type="dxa"/>
            <w:left w:w="108" w:type="dxa"/>
            <w:bottom w:w="0" w:type="dxa"/>
            <w:right w:w="108" w:type="dxa"/>
          </w:tblCellMar>
        </w:tblPrEx>
        <w:trPr>
          <w:trHeight w:val="454" w:hRule="exact"/>
          <w:jc w:val="center"/>
        </w:trPr>
        <w:tc>
          <w:tcPr>
            <w:tcW w:w="830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二、民主法治</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8.基层民主参选率</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≥95</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≥95</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9.廉政指数</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人/万人</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≤8</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≤8</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10.社会安全指数</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100</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 100</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11.每万人拥有律师数</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人</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≥2.3</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≥2.3</w:t>
            </w:r>
          </w:p>
        </w:tc>
      </w:tr>
      <w:tr>
        <w:tblPrEx>
          <w:tblCellMar>
            <w:top w:w="0" w:type="dxa"/>
            <w:left w:w="108" w:type="dxa"/>
            <w:bottom w:w="0" w:type="dxa"/>
            <w:right w:w="108" w:type="dxa"/>
          </w:tblCellMar>
        </w:tblPrEx>
        <w:trPr>
          <w:trHeight w:val="454" w:hRule="exact"/>
          <w:jc w:val="center"/>
        </w:trPr>
        <w:tc>
          <w:tcPr>
            <w:tcW w:w="830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三、文化建设</w:t>
            </w:r>
          </w:p>
        </w:tc>
      </w:tr>
      <w:tr>
        <w:tblPrEx>
          <w:tblCellMar>
            <w:top w:w="0" w:type="dxa"/>
            <w:left w:w="108" w:type="dxa"/>
            <w:bottom w:w="0" w:type="dxa"/>
            <w:right w:w="108" w:type="dxa"/>
          </w:tblCellMar>
        </w:tblPrEx>
        <w:trPr>
          <w:trHeight w:val="454" w:hRule="exact"/>
          <w:jc w:val="center"/>
        </w:trPr>
        <w:tc>
          <w:tcPr>
            <w:tcW w:w="3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12.文化产业增加值占GDP比重</w:t>
            </w: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≥5</w:t>
            </w:r>
          </w:p>
        </w:tc>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≥5</w:t>
            </w:r>
          </w:p>
        </w:tc>
      </w:tr>
      <w:tr>
        <w:tblPrEx>
          <w:tblCellMar>
            <w:top w:w="0" w:type="dxa"/>
            <w:left w:w="108" w:type="dxa"/>
            <w:bottom w:w="0" w:type="dxa"/>
            <w:right w:w="108" w:type="dxa"/>
          </w:tblCellMar>
        </w:tblPrEx>
        <w:trPr>
          <w:trHeight w:val="454" w:hRule="exact"/>
          <w:jc w:val="center"/>
        </w:trPr>
        <w:tc>
          <w:tcPr>
            <w:tcW w:w="3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13.人均公共文化财政支出</w:t>
            </w:r>
          </w:p>
        </w:tc>
        <w:tc>
          <w:tcPr>
            <w:tcW w:w="1148"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元</w:t>
            </w:r>
          </w:p>
        </w:tc>
        <w:tc>
          <w:tcPr>
            <w:tcW w:w="236" w:type="dxa"/>
            <w:tcBorders>
              <w:top w:val="single" w:color="auto" w:sz="4" w:space="0"/>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≥150</w:t>
            </w:r>
          </w:p>
        </w:tc>
        <w:tc>
          <w:tcPr>
            <w:tcW w:w="202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≥150</w:t>
            </w:r>
          </w:p>
        </w:tc>
      </w:tr>
      <w:tr>
        <w:tblPrEx>
          <w:tblCellMar>
            <w:top w:w="0" w:type="dxa"/>
            <w:left w:w="108" w:type="dxa"/>
            <w:bottom w:w="0" w:type="dxa"/>
            <w:right w:w="108" w:type="dxa"/>
          </w:tblCellMar>
        </w:tblPrEx>
        <w:trPr>
          <w:trHeight w:val="454"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14.有线广播电视入户率</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≥60</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≥90</w:t>
            </w:r>
          </w:p>
        </w:tc>
      </w:tr>
      <w:tr>
        <w:tblPrEx>
          <w:tblCellMar>
            <w:top w:w="0" w:type="dxa"/>
            <w:left w:w="108" w:type="dxa"/>
            <w:bottom w:w="0" w:type="dxa"/>
            <w:right w:w="108" w:type="dxa"/>
          </w:tblCellMar>
        </w:tblPrEx>
        <w:trPr>
          <w:trHeight w:val="624"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15.每万人口拥有“三馆一站”公共文化设施建筑面积</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平方米</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≥400</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≥400</w:t>
            </w:r>
          </w:p>
        </w:tc>
      </w:tr>
      <w:tr>
        <w:tblPrEx>
          <w:tblCellMar>
            <w:top w:w="0" w:type="dxa"/>
            <w:left w:w="108" w:type="dxa"/>
            <w:bottom w:w="0" w:type="dxa"/>
            <w:right w:w="108" w:type="dxa"/>
          </w:tblCellMar>
        </w:tblPrEx>
        <w:trPr>
          <w:trHeight w:val="454" w:hRule="exact"/>
          <w:jc w:val="center"/>
        </w:trPr>
        <w:tc>
          <w:tcPr>
            <w:tcW w:w="830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四、人民生活</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16.城乡居民人均收入</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元</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≥25000</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≥30000</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17.城镇登记失业率</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≤6</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≤3</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18.恩格尔系数</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≤40</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≤40</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19.城乡居民收入比</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以农为1</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≤2.08</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≤2.05</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20.农村平均每人住房面积</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平方米</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≥30</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≥30</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21.城市平均每人建筑面积</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平方米</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≥33.3</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≥34</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22.公共交通服务指数</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100</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 100</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23.综合入学率</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100</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 100</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24.5岁以下儿童死亡率</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≤12</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≤7.5</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25.卫生发展指数</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100</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 100</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26.基本社会保险覆盖率</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≥95</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≥98</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27.农村自来水普及率</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≥80</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≥95</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28.农村卫生厕所普及率</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≥75</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≥80</w:t>
            </w:r>
          </w:p>
        </w:tc>
      </w:tr>
      <w:tr>
        <w:tblPrEx>
          <w:tblCellMar>
            <w:top w:w="0" w:type="dxa"/>
            <w:left w:w="108" w:type="dxa"/>
            <w:bottom w:w="0" w:type="dxa"/>
            <w:right w:w="108" w:type="dxa"/>
          </w:tblCellMar>
        </w:tblPrEx>
        <w:trPr>
          <w:trHeight w:val="454" w:hRule="exact"/>
          <w:jc w:val="center"/>
        </w:trPr>
        <w:tc>
          <w:tcPr>
            <w:tcW w:w="830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五、资源环境</w:t>
            </w:r>
          </w:p>
        </w:tc>
      </w:tr>
      <w:tr>
        <w:tblPrEx>
          <w:tblCellMar>
            <w:top w:w="0" w:type="dxa"/>
            <w:left w:w="108" w:type="dxa"/>
            <w:bottom w:w="0" w:type="dxa"/>
            <w:right w:w="108" w:type="dxa"/>
          </w:tblCellMar>
        </w:tblPrEx>
        <w:trPr>
          <w:trHeight w:val="56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29.单位GDP能耗</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吨标准煤/万元</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≤0.6</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≤0.6</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30.环境质量指数</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100</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 100</w:t>
            </w:r>
          </w:p>
        </w:tc>
      </w:tr>
      <w:tr>
        <w:tblPrEx>
          <w:tblCellMar>
            <w:top w:w="0" w:type="dxa"/>
            <w:left w:w="108" w:type="dxa"/>
            <w:bottom w:w="0" w:type="dxa"/>
            <w:right w:w="108" w:type="dxa"/>
          </w:tblCellMar>
        </w:tblPrEx>
        <w:trPr>
          <w:trHeight w:val="397"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31.主要污染物排放强度指数</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100</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 100</w:t>
            </w:r>
          </w:p>
        </w:tc>
      </w:tr>
      <w:tr>
        <w:tblPrEx>
          <w:tblCellMar>
            <w:top w:w="0" w:type="dxa"/>
            <w:left w:w="108" w:type="dxa"/>
            <w:bottom w:w="0" w:type="dxa"/>
            <w:right w:w="108" w:type="dxa"/>
          </w:tblCellMar>
        </w:tblPrEx>
        <w:trPr>
          <w:trHeight w:val="454" w:hRule="exact"/>
          <w:jc w:val="center"/>
        </w:trPr>
        <w:tc>
          <w:tcPr>
            <w:tcW w:w="3325" w:type="dxa"/>
            <w:gridSpan w:val="3"/>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32.城市生活垃圾无害化处理率</w:t>
            </w:r>
          </w:p>
        </w:tc>
        <w:tc>
          <w:tcPr>
            <w:tcW w:w="114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236" w:type="dxa"/>
            <w:tcBorders>
              <w:top w:val="nil"/>
              <w:left w:val="nil"/>
              <w:bottom w:val="single" w:color="auto" w:sz="4" w:space="0"/>
              <w:right w:val="nil"/>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　</w:t>
            </w:r>
          </w:p>
        </w:tc>
        <w:tc>
          <w:tcPr>
            <w:tcW w:w="1574" w:type="dxa"/>
            <w:gridSpan w:val="3"/>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≥85</w:t>
            </w:r>
          </w:p>
        </w:tc>
        <w:tc>
          <w:tcPr>
            <w:tcW w:w="2020"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　= 100</w:t>
            </w:r>
          </w:p>
        </w:tc>
      </w:tr>
    </w:tbl>
    <w:p>
      <w:pPr>
        <w:spacing w:line="320" w:lineRule="exact"/>
        <w:jc w:val="center"/>
        <w:rPr>
          <w:rFonts w:hint="eastAsia" w:ascii="黑体" w:hAnsi="宋体" w:eastAsia="黑体" w:cs="黑体"/>
          <w:sz w:val="32"/>
          <w:szCs w:val="32"/>
        </w:rPr>
      </w:pPr>
      <w:bookmarkStart w:id="24" w:name="_Toc445880850"/>
      <w:bookmarkStart w:id="25" w:name="_Toc443378633"/>
    </w:p>
    <w:p>
      <w:pPr>
        <w:spacing w:line="320" w:lineRule="exact"/>
        <w:jc w:val="center"/>
        <w:rPr>
          <w:rFonts w:hint="eastAsia" w:ascii="黑体" w:hAnsi="宋体" w:eastAsia="黑体" w:cs="黑体"/>
          <w:sz w:val="30"/>
          <w:szCs w:val="30"/>
        </w:rPr>
      </w:pPr>
      <w:r>
        <w:rPr>
          <w:rFonts w:hint="eastAsia" w:ascii="黑体" w:hAnsi="宋体" w:eastAsia="黑体" w:cs="黑体"/>
          <w:sz w:val="30"/>
          <w:szCs w:val="30"/>
        </w:rPr>
        <w:t>第三章 重点任务</w:t>
      </w:r>
      <w:bookmarkEnd w:id="24"/>
      <w:bookmarkEnd w:id="25"/>
    </w:p>
    <w:p>
      <w:pPr>
        <w:spacing w:line="320" w:lineRule="exact"/>
        <w:jc w:val="center"/>
        <w:rPr>
          <w:rFonts w:hint="eastAsia" w:ascii="黑体" w:hAnsi="宋体" w:eastAsia="黑体" w:cs="黑体"/>
          <w:sz w:val="32"/>
          <w:szCs w:val="32"/>
        </w:rPr>
      </w:pPr>
    </w:p>
    <w:p>
      <w:pPr>
        <w:spacing w:line="320" w:lineRule="exact"/>
        <w:ind w:firstLine="420" w:firstLineChars="200"/>
        <w:rPr>
          <w:rFonts w:hint="eastAsia" w:ascii="宋体" w:hAnsi="宋体" w:cs="仿宋"/>
          <w:szCs w:val="21"/>
        </w:rPr>
      </w:pPr>
      <w:r>
        <w:rPr>
          <w:rFonts w:hint="eastAsia" w:ascii="宋体" w:hAnsi="宋体" w:cs="仿宋"/>
          <w:szCs w:val="21"/>
        </w:rPr>
        <w:t>充分发挥市场在资源配置中的决定性作用，针对关系全局和长远发展的重点领域，坚持问题导向，努力破解发展中的难题，实现更有效率和质量、更加公平和可持续的发展。</w:t>
      </w:r>
    </w:p>
    <w:p>
      <w:pPr>
        <w:spacing w:line="320" w:lineRule="exact"/>
        <w:jc w:val="center"/>
        <w:outlineLvl w:val="1"/>
        <w:rPr>
          <w:rFonts w:hint="eastAsia" w:ascii="黑体" w:hAnsi="宋体" w:eastAsia="黑体" w:cs="黑体"/>
          <w:sz w:val="24"/>
        </w:rPr>
      </w:pPr>
      <w:bookmarkStart w:id="26" w:name="_Toc443378634"/>
      <w:r>
        <w:rPr>
          <w:rFonts w:hint="eastAsia" w:ascii="黑体" w:hAnsi="宋体" w:eastAsia="黑体" w:cs="黑体"/>
          <w:sz w:val="24"/>
        </w:rPr>
        <w:t>第一节 推进改革创新，实施创新驱动发展战略</w:t>
      </w:r>
      <w:bookmarkEnd w:id="26"/>
    </w:p>
    <w:p>
      <w:pPr>
        <w:spacing w:line="320" w:lineRule="exact"/>
        <w:ind w:firstLine="420" w:firstLineChars="200"/>
        <w:rPr>
          <w:rFonts w:hint="eastAsia" w:ascii="宋体" w:hAnsi="宋体" w:cs="仿宋"/>
          <w:szCs w:val="21"/>
        </w:rPr>
      </w:pPr>
      <w:r>
        <w:rPr>
          <w:rFonts w:hint="eastAsia" w:ascii="宋体" w:hAnsi="宋体" w:cs="仿宋"/>
          <w:szCs w:val="21"/>
        </w:rPr>
        <w:t>以全面创新改革试验为抓手，深入实施创新驱动发展战略，着力鼓励创业创新，加快形成投资拉动和创新引领双轮驱动的经济体系和发展模式。</w:t>
      </w:r>
    </w:p>
    <w:p>
      <w:pPr>
        <w:spacing w:line="320" w:lineRule="exact"/>
        <w:ind w:firstLine="472" w:firstLineChars="224"/>
        <w:outlineLvl w:val="2"/>
        <w:rPr>
          <w:rFonts w:hint="eastAsia" w:ascii="宋体" w:hAnsi="宋体" w:cs="楷体"/>
          <w:b/>
          <w:bCs/>
          <w:szCs w:val="21"/>
        </w:rPr>
      </w:pPr>
      <w:bookmarkStart w:id="27" w:name="_Toc443378635"/>
      <w:r>
        <w:rPr>
          <w:rFonts w:hint="eastAsia" w:ascii="宋体" w:hAnsi="宋体" w:cs="楷体"/>
          <w:b/>
          <w:bCs/>
          <w:szCs w:val="21"/>
        </w:rPr>
        <w:t>一、推进行政管理体制改革</w:t>
      </w:r>
      <w:bookmarkEnd w:id="27"/>
    </w:p>
    <w:p>
      <w:pPr>
        <w:spacing w:line="320" w:lineRule="exact"/>
        <w:ind w:firstLine="420" w:firstLineChars="200"/>
        <w:rPr>
          <w:rFonts w:hint="eastAsia" w:ascii="宋体" w:hAnsi="宋体" w:cs="仿宋"/>
          <w:szCs w:val="21"/>
        </w:rPr>
      </w:pPr>
      <w:r>
        <w:rPr>
          <w:rFonts w:hint="eastAsia" w:ascii="宋体" w:hAnsi="宋体" w:cs="仿宋"/>
          <w:szCs w:val="21"/>
        </w:rPr>
        <w:t>1.按照大部制要求，整合职能相同或相近部门。进一步减少审批事项，精简审批环节，推进网上审批，提高审批效率。</w:t>
      </w:r>
    </w:p>
    <w:p>
      <w:pPr>
        <w:spacing w:line="320" w:lineRule="exact"/>
        <w:ind w:firstLine="420" w:firstLineChars="200"/>
        <w:rPr>
          <w:rFonts w:hint="eastAsia" w:ascii="宋体" w:hAnsi="宋体" w:cs="仿宋"/>
          <w:szCs w:val="21"/>
        </w:rPr>
      </w:pPr>
      <w:r>
        <w:rPr>
          <w:rFonts w:hint="eastAsia" w:ascii="宋体" w:hAnsi="宋体" w:cs="仿宋"/>
          <w:szCs w:val="21"/>
        </w:rPr>
        <w:t>2.按照经济区功能定位，在不突破机构和人员编制的情况下调整内设机构，整合人员，明确职责，确保经济区职能作用的充分发挥。</w:t>
      </w:r>
    </w:p>
    <w:p>
      <w:pPr>
        <w:spacing w:line="320" w:lineRule="exact"/>
        <w:ind w:firstLine="420" w:firstLineChars="200"/>
        <w:rPr>
          <w:rFonts w:hint="eastAsia" w:ascii="宋体" w:hAnsi="宋体" w:cs="仿宋"/>
          <w:szCs w:val="21"/>
        </w:rPr>
      </w:pPr>
      <w:r>
        <w:rPr>
          <w:rFonts w:hint="eastAsia" w:ascii="宋体" w:hAnsi="宋体" w:cs="仿宋"/>
          <w:szCs w:val="21"/>
        </w:rPr>
        <w:t>3.强化社区管理服务力量，进一步明确社区职责和工作规范，切实解决居民服务最后一公里问题。</w:t>
      </w:r>
    </w:p>
    <w:p>
      <w:pPr>
        <w:spacing w:line="320" w:lineRule="exact"/>
        <w:ind w:firstLine="420" w:firstLineChars="200"/>
        <w:rPr>
          <w:rFonts w:hint="eastAsia" w:ascii="宋体" w:hAnsi="宋体" w:cs="仿宋"/>
          <w:szCs w:val="21"/>
        </w:rPr>
      </w:pPr>
      <w:r>
        <w:rPr>
          <w:rFonts w:hint="eastAsia" w:ascii="宋体" w:hAnsi="宋体" w:cs="仿宋"/>
          <w:szCs w:val="21"/>
        </w:rPr>
        <w:t>4.实行政府与社会资本合作PPP模式、政府购买公共服务等多种方式，改革政府投融资体制机制。推进区政府所属企业面向市场、自主经营。</w:t>
      </w:r>
    </w:p>
    <w:p>
      <w:pPr>
        <w:spacing w:line="320" w:lineRule="exact"/>
        <w:ind w:firstLine="420" w:firstLineChars="200"/>
        <w:rPr>
          <w:rFonts w:hint="eastAsia" w:ascii="宋体" w:hAnsi="宋体" w:cs="仿宋"/>
          <w:szCs w:val="21"/>
        </w:rPr>
      </w:pPr>
      <w:r>
        <w:rPr>
          <w:rFonts w:hint="eastAsia" w:ascii="宋体" w:hAnsi="宋体" w:cs="仿宋"/>
          <w:szCs w:val="21"/>
        </w:rPr>
        <w:t>5.推行建设用地差异化、精细化管理，改革土地利用和管理模式。深化农村土地制度改革。</w:t>
      </w:r>
    </w:p>
    <w:p>
      <w:pPr>
        <w:spacing w:line="320" w:lineRule="exact"/>
        <w:ind w:firstLine="420" w:firstLineChars="200"/>
        <w:rPr>
          <w:rFonts w:hint="eastAsia" w:ascii="宋体" w:hAnsi="宋体" w:cs="仿宋"/>
          <w:szCs w:val="21"/>
        </w:rPr>
      </w:pPr>
      <w:r>
        <w:rPr>
          <w:rFonts w:hint="eastAsia" w:ascii="宋体" w:hAnsi="宋体" w:cs="仿宋"/>
          <w:szCs w:val="21"/>
        </w:rPr>
        <w:t>6.完善社会信用政策和制度，加强信用服务领域标准化建设，形成完善的社会信用体系建设的标准和规范，推进信用信息公开共享，健全守信激励和失信惩戒机制，全面推进政务诚信、商务诚信、社会诚信和司法公信建设，为经济社会发展构建良好的信用环境。</w:t>
      </w:r>
    </w:p>
    <w:p>
      <w:pPr>
        <w:spacing w:line="320" w:lineRule="exact"/>
        <w:ind w:firstLine="472" w:firstLineChars="224"/>
        <w:outlineLvl w:val="2"/>
        <w:rPr>
          <w:rFonts w:hint="eastAsia" w:ascii="宋体" w:hAnsi="宋体" w:cs="楷体"/>
          <w:b/>
          <w:bCs/>
          <w:szCs w:val="21"/>
        </w:rPr>
      </w:pPr>
      <w:bookmarkStart w:id="28" w:name="_Toc443378636"/>
      <w:r>
        <w:rPr>
          <w:rFonts w:hint="eastAsia" w:ascii="宋体" w:hAnsi="宋体" w:cs="楷体"/>
          <w:b/>
          <w:bCs/>
          <w:szCs w:val="21"/>
        </w:rPr>
        <w:t>二、推进科技创新</w:t>
      </w:r>
      <w:bookmarkEnd w:id="28"/>
    </w:p>
    <w:p>
      <w:pPr>
        <w:spacing w:line="320" w:lineRule="exact"/>
        <w:ind w:firstLine="420" w:firstLineChars="200"/>
        <w:rPr>
          <w:rFonts w:hint="eastAsia" w:ascii="宋体" w:hAnsi="宋体" w:cs="仿宋"/>
          <w:szCs w:val="21"/>
        </w:rPr>
      </w:pPr>
      <w:r>
        <w:rPr>
          <w:rFonts w:hint="eastAsia" w:ascii="宋体" w:hAnsi="宋体" w:cs="仿宋"/>
          <w:szCs w:val="21"/>
        </w:rPr>
        <w:t>以破除体制机制障碍为主攻方向，充分发挥沈北高校集中和新兴产业集聚的优势，开展系统性、整体性和协同性改革的先行先试，统筹推进科技、管理、品牌、组织、商业模式创新。构建由企业、科研院所、高校、新型研发实体、科技服务机构等组成的区域创新网络，支持和引导科研单位面向地区经济发展需求开展科技研究、技术成果转化，打造具有沈北特色的自主创新体系。依托沈北航空城推进军民融合发展。强化企业创新的主体地位，提高原始创新、集成创新和引进消化吸收再创新能力，以突破产业发展关键核心技术为重点，组织实施创新工程，强化机器人、轨道交通、食品医药、移动互联网等产业与技术创新联盟建设，增强自主创新能力。完善人才创新机制，培育发展高素质科技人才队伍。</w:t>
      </w:r>
    </w:p>
    <w:p>
      <w:pPr>
        <w:spacing w:line="320" w:lineRule="exact"/>
        <w:ind w:firstLine="472" w:firstLineChars="224"/>
        <w:outlineLvl w:val="2"/>
        <w:rPr>
          <w:rFonts w:hint="eastAsia" w:ascii="宋体" w:hAnsi="宋体" w:cs="楷体"/>
          <w:b/>
          <w:bCs/>
          <w:szCs w:val="21"/>
        </w:rPr>
      </w:pPr>
      <w:bookmarkStart w:id="29" w:name="_Toc443378637"/>
      <w:r>
        <w:rPr>
          <w:rFonts w:hint="eastAsia" w:ascii="宋体" w:hAnsi="宋体" w:cs="楷体"/>
          <w:b/>
          <w:bCs/>
          <w:szCs w:val="21"/>
        </w:rPr>
        <w:t>三、推进大众创业万众创新</w:t>
      </w:r>
      <w:bookmarkEnd w:id="29"/>
    </w:p>
    <w:p>
      <w:pPr>
        <w:spacing w:line="320" w:lineRule="exact"/>
        <w:ind w:firstLine="472" w:firstLineChars="225"/>
        <w:jc w:val="left"/>
        <w:outlineLvl w:val="1"/>
        <w:rPr>
          <w:rFonts w:hint="eastAsia" w:ascii="宋体" w:hAnsi="宋体" w:cs="仿宋"/>
          <w:szCs w:val="21"/>
        </w:rPr>
      </w:pPr>
      <w:bookmarkStart w:id="30" w:name="_Toc443378638"/>
      <w:bookmarkStart w:id="31" w:name="_Toc435623408"/>
      <w:bookmarkStart w:id="32" w:name="_Toc435623683"/>
      <w:bookmarkStart w:id="33" w:name="_Toc436295513"/>
      <w:r>
        <w:rPr>
          <w:rFonts w:hint="eastAsia" w:ascii="宋体" w:hAnsi="宋体" w:cs="仿宋"/>
          <w:szCs w:val="21"/>
        </w:rPr>
        <w:t>简化审批手续，放宽新注册企业场所登记条件限制，建立创业创新引导基金，制定创业创新税费、补贴等方面的扶持政策，营造创新创业良好环境。构建创新创业平台，建立创业创新联盟，加快创业和创新孵化基地建设，实现重大科技资源服务共享，加强创新合作，推进以企业为主体的创业链整合。拓宽创业渠道，建立高校毕业生等“一站式”创业服务体系。</w:t>
      </w:r>
      <w:bookmarkEnd w:id="30"/>
      <w:bookmarkEnd w:id="31"/>
      <w:bookmarkEnd w:id="32"/>
      <w:bookmarkEnd w:id="33"/>
    </w:p>
    <w:p>
      <w:pPr>
        <w:spacing w:line="320" w:lineRule="exact"/>
        <w:jc w:val="center"/>
        <w:outlineLvl w:val="1"/>
        <w:rPr>
          <w:rFonts w:hint="eastAsia" w:ascii="宋体" w:hAnsi="宋体" w:cs="黑体"/>
          <w:szCs w:val="21"/>
        </w:rPr>
      </w:pPr>
      <w:bookmarkStart w:id="34" w:name="_Toc443378639"/>
      <w:r>
        <w:rPr>
          <w:rFonts w:hint="eastAsia" w:ascii="宋体" w:hAnsi="宋体" w:cs="黑体"/>
          <w:szCs w:val="21"/>
        </w:rPr>
        <w:t>第二节 壮大经济总量，确保经济快速增长</w:t>
      </w:r>
      <w:bookmarkEnd w:id="34"/>
    </w:p>
    <w:p>
      <w:pPr>
        <w:spacing w:line="320" w:lineRule="exact"/>
        <w:ind w:firstLine="420" w:firstLineChars="200"/>
        <w:rPr>
          <w:rFonts w:hint="eastAsia" w:ascii="宋体" w:hAnsi="宋体" w:cs="仿宋"/>
          <w:szCs w:val="21"/>
        </w:rPr>
      </w:pPr>
      <w:r>
        <w:rPr>
          <w:rFonts w:hint="eastAsia" w:ascii="宋体" w:hAnsi="宋体" w:cs="仿宋"/>
          <w:szCs w:val="21"/>
        </w:rPr>
        <w:t>通过加大招商引资和项目建设、实施企业倍增计划壮大经济总量，到2020年实现地区生产总值610亿元、一般公共预算收入36.6亿元。</w:t>
      </w:r>
    </w:p>
    <w:p>
      <w:pPr>
        <w:numPr>
          <w:ilvl w:val="0"/>
          <w:numId w:val="1"/>
        </w:numPr>
        <w:spacing w:line="320" w:lineRule="exact"/>
        <w:ind w:firstLine="422" w:firstLineChars="200"/>
        <w:outlineLvl w:val="2"/>
        <w:rPr>
          <w:rFonts w:hint="eastAsia" w:ascii="宋体" w:hAnsi="宋体" w:cs="楷体"/>
          <w:b/>
          <w:bCs/>
          <w:szCs w:val="21"/>
        </w:rPr>
      </w:pPr>
      <w:bookmarkStart w:id="35" w:name="_Toc443378640"/>
      <w:r>
        <w:rPr>
          <w:rFonts w:hint="eastAsia" w:ascii="宋体" w:hAnsi="宋体" w:cs="楷体"/>
          <w:b/>
          <w:bCs/>
          <w:szCs w:val="21"/>
        </w:rPr>
        <w:t>强力推进招商引资</w:t>
      </w:r>
      <w:bookmarkEnd w:id="35"/>
    </w:p>
    <w:p>
      <w:pPr>
        <w:spacing w:line="320" w:lineRule="exact"/>
        <w:ind w:firstLine="420" w:firstLineChars="200"/>
        <w:rPr>
          <w:rFonts w:hint="eastAsia" w:ascii="宋体" w:hAnsi="宋体" w:cs="仿宋"/>
          <w:szCs w:val="21"/>
        </w:rPr>
      </w:pPr>
      <w:r>
        <w:rPr>
          <w:rFonts w:hint="eastAsia" w:ascii="宋体" w:hAnsi="宋体" w:cs="仿宋"/>
          <w:szCs w:val="21"/>
        </w:rPr>
        <w:t>完善招商引资体制机制和政策，提高招商队伍素质，创新招商引资方法，做好引资项目包装策划，加强招商引资工作考核和评价。突出主导产业、高科技企业和有牵动力的大项目招商，注重选择税收贡献率高，有利于完善城市功能和吸纳就业的项目，严格禁止高能耗和有污染项目入区，推进中航工业沈飞和黎明搬迁改造，未来五年要引进项目500个以上。</w:t>
      </w:r>
    </w:p>
    <w:p>
      <w:pPr>
        <w:numPr>
          <w:ilvl w:val="0"/>
          <w:numId w:val="1"/>
        </w:numPr>
        <w:spacing w:line="320" w:lineRule="exact"/>
        <w:ind w:firstLine="422" w:firstLineChars="200"/>
        <w:outlineLvl w:val="2"/>
        <w:rPr>
          <w:rFonts w:hint="eastAsia" w:ascii="宋体" w:hAnsi="宋体" w:cs="楷体"/>
          <w:b/>
          <w:bCs/>
          <w:szCs w:val="21"/>
        </w:rPr>
      </w:pPr>
      <w:bookmarkStart w:id="36" w:name="_Toc443378641"/>
      <w:r>
        <w:rPr>
          <w:rFonts w:hint="eastAsia" w:ascii="宋体" w:hAnsi="宋体" w:cs="楷体"/>
          <w:b/>
          <w:bCs/>
          <w:szCs w:val="21"/>
        </w:rPr>
        <w:t>全面加强项目开工</w:t>
      </w:r>
      <w:bookmarkEnd w:id="36"/>
    </w:p>
    <w:p>
      <w:pPr>
        <w:spacing w:line="320" w:lineRule="exact"/>
        <w:ind w:firstLine="420" w:firstLineChars="200"/>
        <w:rPr>
          <w:rFonts w:hint="eastAsia" w:ascii="宋体" w:hAnsi="宋体" w:cs="仿宋"/>
          <w:szCs w:val="21"/>
        </w:rPr>
      </w:pPr>
      <w:r>
        <w:rPr>
          <w:rFonts w:ascii="宋体" w:hAnsi="宋体" w:cs="仿宋"/>
          <w:szCs w:val="21"/>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718820</wp:posOffset>
                </wp:positionV>
                <wp:extent cx="5257800" cy="4575810"/>
                <wp:effectExtent l="7620" t="7620" r="11430" b="26670"/>
                <wp:wrapTopAndBottom/>
                <wp:docPr id="2" name="矩形 6"/>
                <wp:cNvGraphicFramePr/>
                <a:graphic xmlns:a="http://schemas.openxmlformats.org/drawingml/2006/main">
                  <a:graphicData uri="http://schemas.microsoft.com/office/word/2010/wordprocessingShape">
                    <wps:wsp>
                      <wps:cNvSpPr/>
                      <wps:spPr>
                        <a:xfrm>
                          <a:off x="0" y="0"/>
                          <a:ext cx="5257800" cy="4575810"/>
                        </a:xfrm>
                        <a:prstGeom prst="rect">
                          <a:avLst/>
                        </a:prstGeom>
                        <a:noFill/>
                        <a:ln w="15875" cap="flat" cmpd="sng">
                          <a:solidFill>
                            <a:srgbClr val="000000"/>
                          </a:solidFill>
                          <a:prstDash val="solid"/>
                          <a:miter/>
                          <a:headEnd type="none" w="med" len="med"/>
                          <a:tailEnd type="none" w="med" len="med"/>
                        </a:ln>
                      </wps:spPr>
                      <wps:txbx>
                        <w:txbxContent>
                          <w:p>
                            <w:pPr>
                              <w:jc w:val="center"/>
                              <w:rPr>
                                <w:rFonts w:hint="eastAsia" w:ascii="宋体" w:hAnsi="宋体"/>
                                <w:b/>
                              </w:rPr>
                            </w:pPr>
                            <w:r>
                              <w:rPr>
                                <w:rFonts w:hint="eastAsia" w:ascii="宋体" w:hAnsi="宋体"/>
                                <w:b/>
                              </w:rPr>
                              <w:t>专栏4：重点产业项目</w:t>
                            </w:r>
                          </w:p>
                          <w:p>
                            <w:pPr>
                              <w:ind w:firstLine="358" w:firstLineChars="170"/>
                              <w:rPr>
                                <w:rFonts w:hint="eastAsia" w:ascii="宋体" w:hAnsi="宋体"/>
                              </w:rPr>
                            </w:pPr>
                            <w:r>
                              <w:rPr>
                                <w:rFonts w:hint="eastAsia" w:ascii="宋体" w:hAnsi="宋体"/>
                                <w:b/>
                              </w:rPr>
                              <w:t>1.同联生物医药产业园</w:t>
                            </w:r>
                            <w:r>
                              <w:rPr>
                                <w:rFonts w:hint="eastAsia" w:ascii="宋体" w:hAnsi="宋体"/>
                              </w:rPr>
                              <w:t>：投资155亿元，占地1200亩，主要建设抗生素类药物、现代中药、制剂、药用辅料、包材生产基地。</w:t>
                            </w:r>
                          </w:p>
                          <w:p>
                            <w:pPr>
                              <w:ind w:firstLine="358" w:firstLineChars="170"/>
                              <w:rPr>
                                <w:rFonts w:hint="eastAsia" w:ascii="宋体" w:hAnsi="宋体"/>
                              </w:rPr>
                            </w:pPr>
                            <w:r>
                              <w:rPr>
                                <w:rFonts w:hint="eastAsia" w:ascii="宋体" w:hAnsi="宋体"/>
                                <w:b/>
                              </w:rPr>
                              <w:t>2.太平洋工业城</w:t>
                            </w:r>
                            <w:r>
                              <w:rPr>
                                <w:rFonts w:hint="eastAsia" w:ascii="宋体" w:hAnsi="宋体"/>
                              </w:rPr>
                              <w:t>：投资110亿，占地4800亩，建设现代工业园区。</w:t>
                            </w:r>
                          </w:p>
                          <w:p>
                            <w:pPr>
                              <w:ind w:firstLine="358" w:firstLineChars="170"/>
                              <w:rPr>
                                <w:rFonts w:hint="eastAsia" w:ascii="宋体" w:hAnsi="宋体"/>
                              </w:rPr>
                            </w:pPr>
                            <w:r>
                              <w:rPr>
                                <w:rFonts w:hint="eastAsia" w:ascii="宋体" w:hAnsi="宋体"/>
                                <w:b/>
                              </w:rPr>
                              <w:t>3.利源轨道车辆制造项目</w:t>
                            </w:r>
                            <w:r>
                              <w:rPr>
                                <w:rFonts w:hint="eastAsia" w:ascii="宋体" w:hAnsi="宋体"/>
                              </w:rPr>
                              <w:t>：投资55亿元，建设铝合金高铁、城铁、地铁轨道客车，铝合金货车及铝型材生产基地。</w:t>
                            </w:r>
                          </w:p>
                          <w:p>
                            <w:pPr>
                              <w:ind w:firstLine="358" w:firstLineChars="170"/>
                              <w:rPr>
                                <w:rFonts w:hint="eastAsia" w:ascii="宋体" w:hAnsi="宋体"/>
                              </w:rPr>
                            </w:pPr>
                            <w:r>
                              <w:rPr>
                                <w:rFonts w:hint="eastAsia" w:ascii="宋体" w:hAnsi="宋体"/>
                                <w:b/>
                              </w:rPr>
                              <w:t>4.国际汽模工业城</w:t>
                            </w:r>
                            <w:r>
                              <w:rPr>
                                <w:rFonts w:hint="eastAsia" w:ascii="宋体" w:hAnsi="宋体"/>
                              </w:rPr>
                              <w:t>：投资50亿元，建设集科、工、贸于一体的综合性模具工业城。</w:t>
                            </w:r>
                          </w:p>
                          <w:p>
                            <w:pPr>
                              <w:ind w:firstLine="358" w:firstLineChars="170"/>
                              <w:rPr>
                                <w:rFonts w:hint="eastAsia" w:ascii="宋体" w:hAnsi="宋体"/>
                              </w:rPr>
                            </w:pPr>
                            <w:r>
                              <w:rPr>
                                <w:rFonts w:hint="eastAsia" w:ascii="宋体" w:hAnsi="宋体"/>
                                <w:b/>
                              </w:rPr>
                              <w:t>5.移动位置信息产业园</w:t>
                            </w:r>
                            <w:r>
                              <w:rPr>
                                <w:rFonts w:hint="eastAsia" w:ascii="宋体" w:hAnsi="宋体"/>
                              </w:rPr>
                              <w:t>：投资30亿元，建设位置服务运营中心、呼叫中心、平台研发中心、产业孵化器及相关配套设施。</w:t>
                            </w:r>
                          </w:p>
                          <w:p>
                            <w:pPr>
                              <w:ind w:firstLine="358" w:firstLineChars="170"/>
                              <w:rPr>
                                <w:rFonts w:hint="eastAsia" w:ascii="宋体" w:hAnsi="宋体"/>
                              </w:rPr>
                            </w:pPr>
                            <w:r>
                              <w:rPr>
                                <w:rFonts w:hint="eastAsia" w:ascii="宋体" w:hAnsi="宋体"/>
                                <w:b/>
                              </w:rPr>
                              <w:t>6.辉山乳品城（二期）:</w:t>
                            </w:r>
                            <w:r>
                              <w:rPr>
                                <w:rFonts w:hint="eastAsia" w:ascii="宋体" w:hAnsi="宋体"/>
                              </w:rPr>
                              <w:t>投资15亿元，建设液态奶和酸奶生产基地。</w:t>
                            </w:r>
                          </w:p>
                          <w:p>
                            <w:pPr>
                              <w:ind w:firstLine="358" w:firstLineChars="170"/>
                              <w:rPr>
                                <w:rFonts w:hint="eastAsia" w:ascii="宋体" w:hAnsi="宋体"/>
                              </w:rPr>
                            </w:pPr>
                            <w:r>
                              <w:rPr>
                                <w:rFonts w:hint="eastAsia" w:ascii="宋体" w:hAnsi="宋体"/>
                                <w:b/>
                              </w:rPr>
                              <w:t>7.双汇食品产业园</w:t>
                            </w:r>
                            <w:r>
                              <w:rPr>
                                <w:rFonts w:hint="eastAsia" w:ascii="宋体" w:hAnsi="宋体"/>
                              </w:rPr>
                              <w:t>：投资10亿元，建设生猪屠宰、肉制品加工基地和冷藏库、肉类研发及检测中心、物流配送中心和商业连锁中心总部。</w:t>
                            </w:r>
                          </w:p>
                          <w:p>
                            <w:pPr>
                              <w:ind w:firstLine="358" w:firstLineChars="170"/>
                              <w:rPr>
                                <w:rFonts w:hint="eastAsia" w:ascii="宋体" w:hAnsi="宋体"/>
                              </w:rPr>
                            </w:pPr>
                            <w:r>
                              <w:rPr>
                                <w:rFonts w:hint="eastAsia" w:ascii="宋体" w:hAnsi="宋体"/>
                                <w:b/>
                              </w:rPr>
                              <w:t>8.卡斯马汽车零部件产业园</w:t>
                            </w:r>
                            <w:r>
                              <w:rPr>
                                <w:rFonts w:hint="eastAsia" w:ascii="宋体" w:hAnsi="宋体"/>
                              </w:rPr>
                              <w:t>：投资2亿美元，建设为宝马、通用等整车生产厂配套的汽车零部件产业园。</w:t>
                            </w:r>
                          </w:p>
                          <w:p>
                            <w:pPr>
                              <w:ind w:firstLine="358" w:firstLineChars="170"/>
                              <w:rPr>
                                <w:rFonts w:hint="eastAsia" w:ascii="宋体" w:hAnsi="宋体"/>
                              </w:rPr>
                            </w:pPr>
                            <w:r>
                              <w:rPr>
                                <w:rFonts w:hint="eastAsia" w:ascii="宋体" w:hAnsi="宋体"/>
                                <w:b/>
                              </w:rPr>
                              <w:t>9.中电47所IC产业园</w:t>
                            </w:r>
                            <w:r>
                              <w:rPr>
                                <w:rFonts w:hint="eastAsia" w:ascii="宋体" w:hAnsi="宋体"/>
                              </w:rPr>
                              <w:t>：投资12亿元，建设集成电路生产基地。</w:t>
                            </w:r>
                          </w:p>
                          <w:p>
                            <w:pPr>
                              <w:ind w:firstLine="358" w:firstLineChars="170"/>
                              <w:rPr>
                                <w:rFonts w:hint="eastAsia" w:ascii="宋体" w:hAnsi="宋体"/>
                              </w:rPr>
                            </w:pPr>
                            <w:r>
                              <w:rPr>
                                <w:rFonts w:hint="eastAsia" w:ascii="宋体" w:hAnsi="宋体"/>
                                <w:b/>
                              </w:rPr>
                              <w:t>10.平安汽车产业园</w:t>
                            </w:r>
                            <w:r>
                              <w:rPr>
                                <w:rFonts w:hint="eastAsia" w:ascii="宋体" w:hAnsi="宋体"/>
                              </w:rPr>
                              <w:t>：投资25亿元，建设现代化汽车产业园。</w:t>
                            </w:r>
                          </w:p>
                          <w:p>
                            <w:pPr>
                              <w:ind w:firstLine="358" w:firstLineChars="170"/>
                              <w:rPr>
                                <w:rFonts w:hint="eastAsia" w:ascii="宋体" w:hAnsi="宋体"/>
                                <w:bCs/>
                              </w:rPr>
                            </w:pPr>
                            <w:r>
                              <w:rPr>
                                <w:rFonts w:hint="eastAsia" w:ascii="宋体" w:hAnsi="宋体"/>
                                <w:b/>
                                <w:bCs/>
                              </w:rPr>
                              <w:t>11.央视影视文化创意产业综合体项目：</w:t>
                            </w:r>
                            <w:r>
                              <w:rPr>
                                <w:rFonts w:hint="eastAsia" w:ascii="宋体" w:hAnsi="宋体"/>
                                <w:bCs/>
                              </w:rPr>
                              <w:t>投资206亿元，建设影视创作区、影视制景道具商业街、特色外景影视拍摄区、影视展览中心区、导演工作坊、明星酒店。</w:t>
                            </w:r>
                          </w:p>
                          <w:p>
                            <w:pPr>
                              <w:ind w:firstLine="358" w:firstLineChars="170"/>
                              <w:rPr>
                                <w:rFonts w:hint="eastAsia" w:ascii="宋体" w:hAnsi="宋体"/>
                                <w:bCs/>
                              </w:rPr>
                            </w:pPr>
                            <w:r>
                              <w:rPr>
                                <w:rFonts w:hint="eastAsia" w:ascii="宋体" w:hAnsi="宋体"/>
                                <w:b/>
                                <w:bCs/>
                              </w:rPr>
                              <w:t>12.斐讯智慧沈阳项目：</w:t>
                            </w:r>
                            <w:r>
                              <w:rPr>
                                <w:rFonts w:hint="eastAsia" w:ascii="宋体" w:hAnsi="宋体"/>
                                <w:bCs/>
                              </w:rPr>
                              <w:t>投资100亿元，建设斐讯大数据产业基地和斐讯沈北智慧工业园。</w:t>
                            </w:r>
                          </w:p>
                          <w:p>
                            <w:pPr>
                              <w:ind w:firstLine="358" w:firstLineChars="170"/>
                              <w:rPr>
                                <w:rFonts w:ascii="宋体" w:hAnsi="宋体"/>
                              </w:rPr>
                            </w:pPr>
                            <w:r>
                              <w:rPr>
                                <w:rFonts w:hint="eastAsia" w:ascii="宋体" w:hAnsi="宋体"/>
                                <w:b/>
                                <w:bCs/>
                              </w:rPr>
                              <w:t>13.武汉光谷联合科技城：</w:t>
                            </w:r>
                            <w:r>
                              <w:rPr>
                                <w:rFonts w:hint="eastAsia" w:ascii="宋体" w:hAnsi="宋体"/>
                                <w:bCs/>
                              </w:rPr>
                              <w:t>投资50亿元，建设中小企业研发、创业、孵化平台和标准化厂房。</w:t>
                            </w:r>
                          </w:p>
                        </w:txbxContent>
                      </wps:txbx>
                      <wps:bodyPr vert="horz" wrap="square" anchor="t" anchorCtr="0" upright="1"/>
                    </wps:wsp>
                  </a:graphicData>
                </a:graphic>
              </wp:anchor>
            </w:drawing>
          </mc:Choice>
          <mc:Fallback>
            <w:pict>
              <v:rect id="矩形 6" o:spid="_x0000_s1026" o:spt="1" style="position:absolute;left:0pt;margin-left:15.75pt;margin-top:56.6pt;height:360.3pt;width:414pt;mso-wrap-distance-bottom:0pt;mso-wrap-distance-top:0pt;z-index:251660288;mso-width-relative:page;mso-height-relative:page;" filled="f" stroked="t" coordsize="21600,21600" o:gfxdata="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Xhn8dgAAAAK&#10;AQAADwAAAAAAAAABACAAAAAiAAAAZHJzL2Rvd25yZXYueG1sUEsBAhQAFAAAAAgAh07iQOLYSKMc&#10;AgAANQQAAA4AAAAAAAAAAQAgAAAAJwEAAGRycy9lMm9Eb2MueG1sUEsFBgAAAAAGAAYAWQEAALUF&#10;AAAAAA==&#10;">
                <v:fill on="f" focussize="0,0"/>
                <v:stroke weight="1.25pt" color="#000000" joinstyle="miter"/>
                <v:imagedata o:title=""/>
                <o:lock v:ext="edit" aspectratio="f"/>
                <v:textbox>
                  <w:txbxContent>
                    <w:p>
                      <w:pPr>
                        <w:jc w:val="center"/>
                        <w:rPr>
                          <w:rFonts w:hint="eastAsia" w:ascii="宋体" w:hAnsi="宋体"/>
                          <w:b/>
                        </w:rPr>
                      </w:pPr>
                      <w:r>
                        <w:rPr>
                          <w:rFonts w:hint="eastAsia" w:ascii="宋体" w:hAnsi="宋体"/>
                          <w:b/>
                        </w:rPr>
                        <w:t>专栏4：重点产业项目</w:t>
                      </w:r>
                    </w:p>
                    <w:p>
                      <w:pPr>
                        <w:ind w:firstLine="358" w:firstLineChars="170"/>
                        <w:rPr>
                          <w:rFonts w:hint="eastAsia" w:ascii="宋体" w:hAnsi="宋体"/>
                        </w:rPr>
                      </w:pPr>
                      <w:r>
                        <w:rPr>
                          <w:rFonts w:hint="eastAsia" w:ascii="宋体" w:hAnsi="宋体"/>
                          <w:b/>
                        </w:rPr>
                        <w:t>1.同联生物医药产业园</w:t>
                      </w:r>
                      <w:r>
                        <w:rPr>
                          <w:rFonts w:hint="eastAsia" w:ascii="宋体" w:hAnsi="宋体"/>
                        </w:rPr>
                        <w:t>：投资155亿元，占地1200亩，主要建设抗生素类药物、现代中药、制剂、药用辅料、包材生产基地。</w:t>
                      </w:r>
                    </w:p>
                    <w:p>
                      <w:pPr>
                        <w:ind w:firstLine="358" w:firstLineChars="170"/>
                        <w:rPr>
                          <w:rFonts w:hint="eastAsia" w:ascii="宋体" w:hAnsi="宋体"/>
                        </w:rPr>
                      </w:pPr>
                      <w:r>
                        <w:rPr>
                          <w:rFonts w:hint="eastAsia" w:ascii="宋体" w:hAnsi="宋体"/>
                          <w:b/>
                        </w:rPr>
                        <w:t>2.太平洋工业城</w:t>
                      </w:r>
                      <w:r>
                        <w:rPr>
                          <w:rFonts w:hint="eastAsia" w:ascii="宋体" w:hAnsi="宋体"/>
                        </w:rPr>
                        <w:t>：投资110亿，占地4800亩，建设现代工业园区。</w:t>
                      </w:r>
                    </w:p>
                    <w:p>
                      <w:pPr>
                        <w:ind w:firstLine="358" w:firstLineChars="170"/>
                        <w:rPr>
                          <w:rFonts w:hint="eastAsia" w:ascii="宋体" w:hAnsi="宋体"/>
                        </w:rPr>
                      </w:pPr>
                      <w:r>
                        <w:rPr>
                          <w:rFonts w:hint="eastAsia" w:ascii="宋体" w:hAnsi="宋体"/>
                          <w:b/>
                        </w:rPr>
                        <w:t>3.利源轨道车辆制造项目</w:t>
                      </w:r>
                      <w:r>
                        <w:rPr>
                          <w:rFonts w:hint="eastAsia" w:ascii="宋体" w:hAnsi="宋体"/>
                        </w:rPr>
                        <w:t>：投资55亿元，建设铝合金高铁、城铁、地铁轨道客车，铝合金货车及铝型材生产基地。</w:t>
                      </w:r>
                    </w:p>
                    <w:p>
                      <w:pPr>
                        <w:ind w:firstLine="358" w:firstLineChars="170"/>
                        <w:rPr>
                          <w:rFonts w:hint="eastAsia" w:ascii="宋体" w:hAnsi="宋体"/>
                        </w:rPr>
                      </w:pPr>
                      <w:r>
                        <w:rPr>
                          <w:rFonts w:hint="eastAsia" w:ascii="宋体" w:hAnsi="宋体"/>
                          <w:b/>
                        </w:rPr>
                        <w:t>4.国际汽模工业城</w:t>
                      </w:r>
                      <w:r>
                        <w:rPr>
                          <w:rFonts w:hint="eastAsia" w:ascii="宋体" w:hAnsi="宋体"/>
                        </w:rPr>
                        <w:t>：投资50亿元，建设集科、工、贸于一体的综合性模具工业城。</w:t>
                      </w:r>
                    </w:p>
                    <w:p>
                      <w:pPr>
                        <w:ind w:firstLine="358" w:firstLineChars="170"/>
                        <w:rPr>
                          <w:rFonts w:hint="eastAsia" w:ascii="宋体" w:hAnsi="宋体"/>
                        </w:rPr>
                      </w:pPr>
                      <w:r>
                        <w:rPr>
                          <w:rFonts w:hint="eastAsia" w:ascii="宋体" w:hAnsi="宋体"/>
                          <w:b/>
                        </w:rPr>
                        <w:t>5.移动位置信息产业园</w:t>
                      </w:r>
                      <w:r>
                        <w:rPr>
                          <w:rFonts w:hint="eastAsia" w:ascii="宋体" w:hAnsi="宋体"/>
                        </w:rPr>
                        <w:t>：投资30亿元，建设位置服务运营中心、呼叫中心、平台研发中心、产业孵化器及相关配套设施。</w:t>
                      </w:r>
                    </w:p>
                    <w:p>
                      <w:pPr>
                        <w:ind w:firstLine="358" w:firstLineChars="170"/>
                        <w:rPr>
                          <w:rFonts w:hint="eastAsia" w:ascii="宋体" w:hAnsi="宋体"/>
                        </w:rPr>
                      </w:pPr>
                      <w:r>
                        <w:rPr>
                          <w:rFonts w:hint="eastAsia" w:ascii="宋体" w:hAnsi="宋体"/>
                          <w:b/>
                        </w:rPr>
                        <w:t>6.辉山乳品城（二期）:</w:t>
                      </w:r>
                      <w:r>
                        <w:rPr>
                          <w:rFonts w:hint="eastAsia" w:ascii="宋体" w:hAnsi="宋体"/>
                        </w:rPr>
                        <w:t>投资15亿元，建设液态奶和酸奶生产基地。</w:t>
                      </w:r>
                    </w:p>
                    <w:p>
                      <w:pPr>
                        <w:ind w:firstLine="358" w:firstLineChars="170"/>
                        <w:rPr>
                          <w:rFonts w:hint="eastAsia" w:ascii="宋体" w:hAnsi="宋体"/>
                        </w:rPr>
                      </w:pPr>
                      <w:r>
                        <w:rPr>
                          <w:rFonts w:hint="eastAsia" w:ascii="宋体" w:hAnsi="宋体"/>
                          <w:b/>
                        </w:rPr>
                        <w:t>7.双汇食品产业园</w:t>
                      </w:r>
                      <w:r>
                        <w:rPr>
                          <w:rFonts w:hint="eastAsia" w:ascii="宋体" w:hAnsi="宋体"/>
                        </w:rPr>
                        <w:t>：投资10亿元，建设生猪屠宰、肉制品加工基地和冷藏库、肉类研发及检测中心、物流配送中心和商业连锁中心总部。</w:t>
                      </w:r>
                    </w:p>
                    <w:p>
                      <w:pPr>
                        <w:ind w:firstLine="358" w:firstLineChars="170"/>
                        <w:rPr>
                          <w:rFonts w:hint="eastAsia" w:ascii="宋体" w:hAnsi="宋体"/>
                        </w:rPr>
                      </w:pPr>
                      <w:r>
                        <w:rPr>
                          <w:rFonts w:hint="eastAsia" w:ascii="宋体" w:hAnsi="宋体"/>
                          <w:b/>
                        </w:rPr>
                        <w:t>8.卡斯马汽车零部件产业园</w:t>
                      </w:r>
                      <w:r>
                        <w:rPr>
                          <w:rFonts w:hint="eastAsia" w:ascii="宋体" w:hAnsi="宋体"/>
                        </w:rPr>
                        <w:t>：投资2亿美元，建设为宝马、通用等整车生产厂配套的汽车零部件产业园。</w:t>
                      </w:r>
                    </w:p>
                    <w:p>
                      <w:pPr>
                        <w:ind w:firstLine="358" w:firstLineChars="170"/>
                        <w:rPr>
                          <w:rFonts w:hint="eastAsia" w:ascii="宋体" w:hAnsi="宋体"/>
                        </w:rPr>
                      </w:pPr>
                      <w:r>
                        <w:rPr>
                          <w:rFonts w:hint="eastAsia" w:ascii="宋体" w:hAnsi="宋体"/>
                          <w:b/>
                        </w:rPr>
                        <w:t>9.中电47所IC产业园</w:t>
                      </w:r>
                      <w:r>
                        <w:rPr>
                          <w:rFonts w:hint="eastAsia" w:ascii="宋体" w:hAnsi="宋体"/>
                        </w:rPr>
                        <w:t>：投资12亿元，建设集成电路生产基地。</w:t>
                      </w:r>
                    </w:p>
                    <w:p>
                      <w:pPr>
                        <w:ind w:firstLine="358" w:firstLineChars="170"/>
                        <w:rPr>
                          <w:rFonts w:hint="eastAsia" w:ascii="宋体" w:hAnsi="宋体"/>
                        </w:rPr>
                      </w:pPr>
                      <w:r>
                        <w:rPr>
                          <w:rFonts w:hint="eastAsia" w:ascii="宋体" w:hAnsi="宋体"/>
                          <w:b/>
                        </w:rPr>
                        <w:t>10.平安汽车产业园</w:t>
                      </w:r>
                      <w:r>
                        <w:rPr>
                          <w:rFonts w:hint="eastAsia" w:ascii="宋体" w:hAnsi="宋体"/>
                        </w:rPr>
                        <w:t>：投资25亿元，建设现代化汽车产业园。</w:t>
                      </w:r>
                    </w:p>
                    <w:p>
                      <w:pPr>
                        <w:ind w:firstLine="358" w:firstLineChars="170"/>
                        <w:rPr>
                          <w:rFonts w:hint="eastAsia" w:ascii="宋体" w:hAnsi="宋体"/>
                          <w:bCs/>
                        </w:rPr>
                      </w:pPr>
                      <w:r>
                        <w:rPr>
                          <w:rFonts w:hint="eastAsia" w:ascii="宋体" w:hAnsi="宋体"/>
                          <w:b/>
                          <w:bCs/>
                        </w:rPr>
                        <w:t>11.央视影视文化创意产业综合体项目：</w:t>
                      </w:r>
                      <w:r>
                        <w:rPr>
                          <w:rFonts w:hint="eastAsia" w:ascii="宋体" w:hAnsi="宋体"/>
                          <w:bCs/>
                        </w:rPr>
                        <w:t>投资206亿元，建设影视创作区、影视制景道具商业街、特色外景影视拍摄区、影视展览中心区、导演工作坊、明星酒店。</w:t>
                      </w:r>
                    </w:p>
                    <w:p>
                      <w:pPr>
                        <w:ind w:firstLine="358" w:firstLineChars="170"/>
                        <w:rPr>
                          <w:rFonts w:hint="eastAsia" w:ascii="宋体" w:hAnsi="宋体"/>
                          <w:bCs/>
                        </w:rPr>
                      </w:pPr>
                      <w:r>
                        <w:rPr>
                          <w:rFonts w:hint="eastAsia" w:ascii="宋体" w:hAnsi="宋体"/>
                          <w:b/>
                          <w:bCs/>
                        </w:rPr>
                        <w:t>12.斐讯智慧沈阳项目：</w:t>
                      </w:r>
                      <w:r>
                        <w:rPr>
                          <w:rFonts w:hint="eastAsia" w:ascii="宋体" w:hAnsi="宋体"/>
                          <w:bCs/>
                        </w:rPr>
                        <w:t>投资100亿元，建设斐讯大数据产业基地和斐讯沈北智慧工业园。</w:t>
                      </w:r>
                    </w:p>
                    <w:p>
                      <w:pPr>
                        <w:ind w:firstLine="358" w:firstLineChars="170"/>
                        <w:rPr>
                          <w:rFonts w:ascii="宋体" w:hAnsi="宋体"/>
                        </w:rPr>
                      </w:pPr>
                      <w:r>
                        <w:rPr>
                          <w:rFonts w:hint="eastAsia" w:ascii="宋体" w:hAnsi="宋体"/>
                          <w:b/>
                          <w:bCs/>
                        </w:rPr>
                        <w:t>13.武汉光谷联合科技城：</w:t>
                      </w:r>
                      <w:r>
                        <w:rPr>
                          <w:rFonts w:hint="eastAsia" w:ascii="宋体" w:hAnsi="宋体"/>
                          <w:bCs/>
                        </w:rPr>
                        <w:t>投资50亿元，建设中小企业研发、创业、孵化平台和标准化厂房。</w:t>
                      </w:r>
                    </w:p>
                  </w:txbxContent>
                </v:textbox>
                <w10:wrap type="topAndBottom"/>
              </v:rect>
            </w:pict>
          </mc:Fallback>
        </mc:AlternateContent>
      </w:r>
      <w:r>
        <w:rPr>
          <w:rFonts w:hint="eastAsia" w:ascii="宋体" w:hAnsi="宋体" w:cs="仿宋"/>
          <w:szCs w:val="21"/>
        </w:rPr>
        <w:t>全面清理低效用地和闲置土地，强化征收拆迁工作，确保建设用地供应。提高审批效率，强化项目开工服务。加强项目建设水、电、路等基础设施配套。未来五年累计新增建筑面积达到2500万平方米以上。</w:t>
      </w:r>
    </w:p>
    <w:p>
      <w:pPr>
        <w:numPr>
          <w:ilvl w:val="0"/>
          <w:numId w:val="1"/>
        </w:numPr>
        <w:spacing w:line="320" w:lineRule="exact"/>
        <w:ind w:firstLine="422" w:firstLineChars="200"/>
        <w:outlineLvl w:val="2"/>
        <w:rPr>
          <w:rFonts w:hint="eastAsia" w:ascii="宋体" w:hAnsi="宋体" w:cs="楷体"/>
          <w:b/>
          <w:bCs/>
          <w:szCs w:val="21"/>
        </w:rPr>
      </w:pPr>
      <w:bookmarkStart w:id="37" w:name="_Toc443378642"/>
      <w:r>
        <w:rPr>
          <w:rFonts w:hint="eastAsia" w:ascii="宋体" w:hAnsi="宋体" w:cs="楷体"/>
          <w:b/>
          <w:bCs/>
          <w:szCs w:val="21"/>
        </w:rPr>
        <w:t>大力实施倍增计划</w:t>
      </w:r>
      <w:bookmarkEnd w:id="37"/>
    </w:p>
    <w:p>
      <w:pPr>
        <w:spacing w:line="320" w:lineRule="exact"/>
        <w:ind w:firstLine="420" w:firstLineChars="200"/>
        <w:rPr>
          <w:rFonts w:hint="eastAsia" w:ascii="宋体" w:hAnsi="宋体" w:cs="仿宋"/>
          <w:szCs w:val="21"/>
        </w:rPr>
      </w:pPr>
      <w:r>
        <w:rPr>
          <w:rFonts w:hint="eastAsia" w:ascii="宋体" w:hAnsi="宋体" w:cs="仿宋"/>
          <w:szCs w:val="21"/>
        </w:rPr>
        <w:t>大力实施企业倍增计划，培育壮大200户以上优势龙头企业，帮扶解困100户以上潜力型企业，扶持10户以上企业上市。</w:t>
      </w:r>
    </w:p>
    <w:p>
      <w:pPr>
        <w:spacing w:line="320" w:lineRule="exact"/>
        <w:jc w:val="center"/>
        <w:outlineLvl w:val="1"/>
        <w:rPr>
          <w:rFonts w:hint="eastAsia" w:ascii="黑体" w:hAnsi="宋体" w:eastAsia="黑体" w:cs="楷体"/>
          <w:bCs/>
          <w:sz w:val="24"/>
        </w:rPr>
      </w:pPr>
      <w:bookmarkStart w:id="38" w:name="_Toc443378643"/>
      <w:r>
        <w:rPr>
          <w:rFonts w:hint="eastAsia" w:ascii="黑体" w:hAnsi="宋体" w:eastAsia="黑体" w:cs="黑体"/>
          <w:sz w:val="24"/>
        </w:rPr>
        <w:t xml:space="preserve">第三节 </w:t>
      </w:r>
      <w:r>
        <w:rPr>
          <w:rFonts w:hint="eastAsia" w:ascii="黑体" w:hAnsi="宋体" w:eastAsia="黑体" w:cs="楷体"/>
          <w:bCs/>
          <w:sz w:val="24"/>
        </w:rPr>
        <w:t>优化空间布局，建设主体功能区</w:t>
      </w:r>
      <w:bookmarkEnd w:id="38"/>
    </w:p>
    <w:p>
      <w:pPr>
        <w:spacing w:line="320" w:lineRule="exact"/>
        <w:ind w:firstLine="420" w:firstLineChars="200"/>
        <w:rPr>
          <w:rFonts w:hint="eastAsia" w:ascii="宋体" w:hAnsi="宋体" w:cs="仿宋"/>
          <w:szCs w:val="21"/>
        </w:rPr>
      </w:pPr>
      <w:r>
        <w:rPr>
          <w:rFonts w:hint="eastAsia" w:ascii="宋体" w:hAnsi="宋体" w:cs="仿宋"/>
          <w:szCs w:val="21"/>
        </w:rPr>
        <w:t>实施主体功能区战略，以多规融合为重点，充分衔接沈北城市总体规划、土地利用总体规划和生态保护相关规划，严格界定优化开发、重点开发、限制开发和禁止开发四类主体功能区，促进各类资源的合理开发利用，逐步形成人口、经济、资源环境相协调的开发格局，提升经济社会发展的承载能力。</w:t>
      </w:r>
    </w:p>
    <w:p>
      <w:pPr>
        <w:spacing w:line="320" w:lineRule="exact"/>
        <w:ind w:firstLine="472" w:firstLineChars="224"/>
        <w:outlineLvl w:val="2"/>
        <w:rPr>
          <w:rFonts w:hint="eastAsia" w:ascii="宋体" w:hAnsi="宋体" w:cs="仿宋"/>
          <w:b/>
          <w:bCs/>
          <w:szCs w:val="21"/>
        </w:rPr>
      </w:pPr>
      <w:bookmarkStart w:id="39" w:name="_Toc443378644"/>
      <w:r>
        <w:rPr>
          <w:rFonts w:hint="eastAsia" w:ascii="宋体" w:hAnsi="宋体" w:cs="仿宋"/>
          <w:b/>
          <w:bCs/>
          <w:szCs w:val="21"/>
        </w:rPr>
        <w:t>一、优化和重点开发区域</w:t>
      </w:r>
      <w:bookmarkEnd w:id="39"/>
    </w:p>
    <w:p>
      <w:pPr>
        <w:spacing w:line="320" w:lineRule="exact"/>
        <w:ind w:firstLine="718" w:firstLineChars="342"/>
        <w:rPr>
          <w:rFonts w:hint="eastAsia" w:ascii="宋体" w:hAnsi="宋体" w:cs="仿宋"/>
          <w:szCs w:val="21"/>
        </w:rPr>
      </w:pPr>
      <w:r>
        <w:rPr>
          <w:rFonts w:hint="eastAsia" w:ascii="宋体" w:hAnsi="宋体" w:cs="仿宋"/>
          <w:szCs w:val="21"/>
        </w:rPr>
        <w:t>优化和重点开发区域包括道义经济区、虎石台经济区、辉山经济区、沈北新城、沈北智慧产业园、沈北商贸区，重点承载城市功能，大力发展工业和服务业，其中，道义经济区重点发展房地产等服务业、虎石台经济区重点发展车辆制造产业、辉山经济区重点发展食品及医药产业、沈北新城重点发展航空产业、智慧产业园重点发展智慧产业、沈北商贸区重点发展金融、总部等服务业。按照产城融合发展的要求，完善城市基础设施和公共服务设施。蒲河经济带要加快产业和人口集聚，沈康现代农业示范带要加快发展现代农业，依托辽河湿地环境优势，打造国家湿地旅游基地。</w:t>
      </w:r>
    </w:p>
    <w:p>
      <w:pPr>
        <w:spacing w:line="320" w:lineRule="exact"/>
        <w:ind w:firstLine="718" w:firstLineChars="342"/>
        <w:rPr>
          <w:rFonts w:hint="eastAsia" w:ascii="宋体" w:hAnsi="宋体" w:cs="仿宋"/>
          <w:szCs w:val="21"/>
        </w:rPr>
      </w:pPr>
    </w:p>
    <w:p>
      <w:pPr>
        <w:spacing w:line="320" w:lineRule="exact"/>
        <w:jc w:val="center"/>
        <w:rPr>
          <w:rFonts w:hint="eastAsia" w:ascii="宋体" w:hAnsi="宋体" w:cs="仿宋"/>
          <w:b/>
          <w:szCs w:val="21"/>
        </w:rPr>
      </w:pPr>
      <w:bookmarkStart w:id="40" w:name="_Toc443378645"/>
      <w:r>
        <w:rPr>
          <w:rFonts w:hint="eastAsia" w:ascii="宋体" w:hAnsi="宋体" w:cs="仿宋"/>
          <w:b/>
          <w:szCs w:val="21"/>
        </w:rPr>
        <w:t>图2 十大产业园区布局图</w:t>
      </w:r>
    </w:p>
    <w:p>
      <w:pPr>
        <w:spacing w:line="320" w:lineRule="exact"/>
        <w:ind w:firstLine="470" w:firstLineChars="224"/>
        <w:outlineLvl w:val="2"/>
        <w:rPr>
          <w:rFonts w:hint="eastAsia" w:ascii="宋体" w:hAnsi="宋体" w:cs="仿宋"/>
          <w:b/>
          <w:bCs/>
          <w:szCs w:val="21"/>
        </w:rPr>
      </w:pPr>
      <w:r>
        <w:rPr>
          <w:rFonts w:ascii="宋体" w:hAnsi="宋体"/>
          <w:szCs w:val="21"/>
        </w:rPr>
        <w:drawing>
          <wp:anchor distT="0" distB="0" distL="114300" distR="114300" simplePos="0" relativeHeight="251661312" behindDoc="0" locked="0" layoutInCell="1" allowOverlap="1">
            <wp:simplePos x="0" y="0"/>
            <wp:positionH relativeFrom="page">
              <wp:posOffset>1141095</wp:posOffset>
            </wp:positionH>
            <wp:positionV relativeFrom="page">
              <wp:posOffset>1112520</wp:posOffset>
            </wp:positionV>
            <wp:extent cx="5267325" cy="3733800"/>
            <wp:effectExtent l="0" t="0" r="9525" b="0"/>
            <wp:wrapTopAndBottom/>
            <wp:docPr id="3" name="图片 6" descr="十大产业园区布局图规划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十大产业园区布局图规划用"/>
                    <pic:cNvPicPr>
                      <a:picLocks noChangeAspect="1"/>
                    </pic:cNvPicPr>
                  </pic:nvPicPr>
                  <pic:blipFill>
                    <a:blip r:embed="rId7"/>
                    <a:stretch>
                      <a:fillRect/>
                    </a:stretch>
                  </pic:blipFill>
                  <pic:spPr>
                    <a:xfrm>
                      <a:off x="0" y="0"/>
                      <a:ext cx="5267325" cy="3733800"/>
                    </a:xfrm>
                    <a:prstGeom prst="rect">
                      <a:avLst/>
                    </a:prstGeom>
                    <a:noFill/>
                    <a:ln>
                      <a:noFill/>
                    </a:ln>
                  </pic:spPr>
                </pic:pic>
              </a:graphicData>
            </a:graphic>
          </wp:anchor>
        </w:drawing>
      </w:r>
      <w:r>
        <w:rPr>
          <w:rFonts w:hint="eastAsia" w:ascii="宋体" w:hAnsi="宋体" w:cs="仿宋"/>
          <w:b/>
          <w:bCs/>
          <w:szCs w:val="21"/>
        </w:rPr>
        <w:t>二、限制和禁止开发区域</w:t>
      </w:r>
      <w:bookmarkEnd w:id="40"/>
    </w:p>
    <w:p>
      <w:pPr>
        <w:spacing w:line="320" w:lineRule="exact"/>
        <w:ind w:firstLine="420" w:firstLineChars="200"/>
        <w:rPr>
          <w:rFonts w:hint="eastAsia" w:ascii="宋体" w:hAnsi="宋体" w:cs="仿宋"/>
          <w:szCs w:val="21"/>
        </w:rPr>
      </w:pPr>
      <w:r>
        <w:rPr>
          <w:rFonts w:hint="eastAsia" w:ascii="宋体" w:hAnsi="宋体" w:cs="仿宋"/>
          <w:szCs w:val="21"/>
        </w:rPr>
        <w:t>饮用水源地、基本农田、林地、生态保护地、风景名胜区、文物保护区严禁开发。清水新市镇重点安置中央下放煤矿棚户区居民和周边新型城镇化后农民居住生活，农业经济区</w:t>
      </w:r>
      <w:r>
        <w:rPr>
          <w:rFonts w:hint="eastAsia" w:ascii="宋体" w:hAnsi="宋体" w:cs="仿宋"/>
          <w:szCs w:val="21"/>
          <w:lang w:eastAsia="zh-CN"/>
        </w:rPr>
        <w:t>其他</w:t>
      </w:r>
      <w:r>
        <w:rPr>
          <w:rFonts w:hint="eastAsia" w:ascii="宋体" w:hAnsi="宋体" w:cs="仿宋"/>
          <w:szCs w:val="21"/>
        </w:rPr>
        <w:t>区域重点发展现代农业和旅游业。</w:t>
      </w:r>
    </w:p>
    <w:p>
      <w:pPr>
        <w:spacing w:line="320" w:lineRule="exact"/>
        <w:jc w:val="center"/>
        <w:outlineLvl w:val="1"/>
        <w:rPr>
          <w:rFonts w:hint="eastAsia" w:ascii="黑体" w:hAnsi="宋体" w:eastAsia="黑体" w:cs="楷体"/>
          <w:b/>
          <w:bCs/>
          <w:sz w:val="24"/>
        </w:rPr>
      </w:pPr>
      <w:bookmarkStart w:id="41" w:name="_Toc443378646"/>
      <w:r>
        <w:rPr>
          <w:rFonts w:hint="eastAsia" w:ascii="黑体" w:hAnsi="宋体" w:eastAsia="黑体" w:cs="黑体"/>
          <w:sz w:val="24"/>
        </w:rPr>
        <w:t>第四节 调整经济结构，提高经济质量和效益</w:t>
      </w:r>
      <w:bookmarkEnd w:id="41"/>
    </w:p>
    <w:p>
      <w:pPr>
        <w:spacing w:line="320" w:lineRule="exact"/>
        <w:ind w:firstLine="420" w:firstLineChars="200"/>
        <w:rPr>
          <w:rFonts w:hint="eastAsia" w:ascii="宋体" w:hAnsi="宋体" w:cs="仿宋"/>
          <w:szCs w:val="21"/>
        </w:rPr>
      </w:pPr>
      <w:r>
        <w:rPr>
          <w:rFonts w:hint="eastAsia" w:ascii="宋体" w:hAnsi="宋体" w:cs="仿宋"/>
          <w:szCs w:val="21"/>
        </w:rPr>
        <w:t>到2020年，工业总产值达到1550亿元以上，工业增加值达到430亿元以上，新兴工业产值达到900亿元以上，占工业总产值的60%以上；房地产开发和销售面积年均达到120万平方米以上，服务业增加值达到122亿元以上；土地流转率达到90%以上，农业增加值达到46.5亿元以上。一、二、三产业增加值比达到8:72:20。</w:t>
      </w:r>
    </w:p>
    <w:p>
      <w:pPr>
        <w:spacing w:line="320" w:lineRule="exact"/>
        <w:ind w:firstLine="472" w:firstLineChars="224"/>
        <w:outlineLvl w:val="2"/>
        <w:rPr>
          <w:rFonts w:hint="eastAsia" w:ascii="宋体" w:hAnsi="宋体" w:cs="楷体"/>
          <w:b/>
          <w:bCs/>
          <w:szCs w:val="21"/>
        </w:rPr>
      </w:pPr>
      <w:bookmarkStart w:id="42" w:name="_Toc443378647"/>
      <w:r>
        <w:rPr>
          <w:rFonts w:hint="eastAsia" w:ascii="宋体" w:hAnsi="宋体" w:cs="楷体"/>
          <w:b/>
          <w:bCs/>
          <w:szCs w:val="21"/>
        </w:rPr>
        <w:t>一、大力发展新兴工业</w:t>
      </w:r>
      <w:bookmarkEnd w:id="42"/>
    </w:p>
    <w:p>
      <w:pPr>
        <w:spacing w:line="320" w:lineRule="exact"/>
        <w:ind w:firstLine="420" w:firstLineChars="200"/>
        <w:rPr>
          <w:rFonts w:hint="eastAsia" w:ascii="宋体" w:hAnsi="宋体" w:cs="仿宋"/>
          <w:szCs w:val="21"/>
        </w:rPr>
      </w:pPr>
      <w:r>
        <w:rPr>
          <w:rFonts w:hint="eastAsia" w:ascii="宋体" w:hAnsi="宋体" w:cs="仿宋"/>
          <w:szCs w:val="21"/>
        </w:rPr>
        <w:t>以“中国制造2025”为指引，重点发展食品医药、智慧产业、车辆制造、航空产业、智能绿色制造产业，逐步淘汰化工等高污染企业和产能严重过剩企业，建成东北区域新兴工业集聚区。</w:t>
      </w:r>
    </w:p>
    <w:p>
      <w:pPr>
        <w:spacing w:line="320" w:lineRule="exact"/>
        <w:ind w:firstLine="472" w:firstLineChars="224"/>
        <w:outlineLvl w:val="3"/>
        <w:rPr>
          <w:rFonts w:hint="eastAsia" w:ascii="宋体" w:hAnsi="宋体" w:cs="仿宋"/>
          <w:szCs w:val="21"/>
        </w:rPr>
      </w:pPr>
      <w:bookmarkStart w:id="43" w:name="_Toc443378648"/>
      <w:r>
        <w:rPr>
          <w:rFonts w:hint="eastAsia" w:ascii="宋体" w:hAnsi="宋体" w:cs="仿宋"/>
          <w:b/>
          <w:szCs w:val="21"/>
        </w:rPr>
        <w:t>1.食品医药产业</w:t>
      </w:r>
      <w:r>
        <w:rPr>
          <w:rFonts w:hint="eastAsia" w:ascii="宋体" w:hAnsi="宋体" w:cs="仿宋"/>
          <w:szCs w:val="21"/>
        </w:rPr>
        <w:t>。重点发展乳制品、畜禽制品、粮油制品、饮料及果蔬制品、营养与保健食品等食品产业，发展抗生素、化学合成药、现代中药、生物制品、医疗器械、生物技术和医药研发等产业，加速推进中德生物医药产业领域的项目和技术合作，建成东北重要的食品产业和医药产业基地。</w:t>
      </w:r>
      <w:bookmarkEnd w:id="43"/>
    </w:p>
    <w:p>
      <w:pPr>
        <w:spacing w:line="320" w:lineRule="exact"/>
        <w:ind w:firstLine="472" w:firstLineChars="224"/>
        <w:outlineLvl w:val="3"/>
        <w:rPr>
          <w:rFonts w:hint="eastAsia" w:ascii="宋体" w:hAnsi="宋体" w:cs="仿宋"/>
          <w:szCs w:val="21"/>
        </w:rPr>
      </w:pPr>
      <w:bookmarkStart w:id="44" w:name="_Toc443378649"/>
      <w:r>
        <w:rPr>
          <w:rFonts w:hint="eastAsia" w:ascii="宋体" w:hAnsi="宋体" w:cs="仿宋"/>
          <w:b/>
          <w:szCs w:val="21"/>
        </w:rPr>
        <w:t>2.智慧产业</w:t>
      </w:r>
      <w:r>
        <w:rPr>
          <w:rFonts w:hint="eastAsia" w:ascii="宋体" w:hAnsi="宋体" w:cs="仿宋"/>
          <w:szCs w:val="21"/>
        </w:rPr>
        <w:t>。重点发展智能终端、移动互联网、工业互联网、大数据等相关产业，建成东北重要的智慧产业基地。</w:t>
      </w:r>
      <w:bookmarkEnd w:id="44"/>
    </w:p>
    <w:p>
      <w:pPr>
        <w:spacing w:line="320" w:lineRule="exact"/>
        <w:ind w:firstLine="472" w:firstLineChars="224"/>
        <w:outlineLvl w:val="3"/>
        <w:rPr>
          <w:rFonts w:hint="eastAsia" w:ascii="宋体" w:hAnsi="宋体" w:cs="仿宋"/>
          <w:szCs w:val="21"/>
        </w:rPr>
      </w:pPr>
      <w:bookmarkStart w:id="45" w:name="_Toc443378650"/>
      <w:r>
        <w:rPr>
          <w:rFonts w:hint="eastAsia" w:ascii="宋体" w:hAnsi="宋体" w:cs="仿宋"/>
          <w:b/>
          <w:szCs w:val="21"/>
        </w:rPr>
        <w:t>3.车辆制造产业</w:t>
      </w:r>
      <w:r>
        <w:rPr>
          <w:rFonts w:hint="eastAsia" w:ascii="宋体" w:hAnsi="宋体" w:cs="仿宋"/>
          <w:szCs w:val="21"/>
        </w:rPr>
        <w:t>。重点发展乘用车、载货车、专用车和新能源汽车整车和零部件制造产业，发展轨道车辆整车及零部件制造产业，建成东北重要的车辆制造产业基地。</w:t>
      </w:r>
      <w:bookmarkEnd w:id="45"/>
    </w:p>
    <w:p>
      <w:pPr>
        <w:spacing w:line="320" w:lineRule="exact"/>
        <w:ind w:firstLine="472" w:firstLineChars="224"/>
        <w:outlineLvl w:val="3"/>
        <w:rPr>
          <w:rFonts w:hint="eastAsia" w:ascii="宋体" w:hAnsi="宋体" w:cs="仿宋"/>
          <w:szCs w:val="21"/>
        </w:rPr>
      </w:pPr>
      <w:bookmarkStart w:id="46" w:name="_Toc443378651"/>
      <w:r>
        <w:rPr>
          <w:rFonts w:hint="eastAsia" w:ascii="宋体" w:hAnsi="宋体" w:cs="仿宋"/>
          <w:b/>
          <w:szCs w:val="21"/>
        </w:rPr>
        <w:t>4.航空产业</w:t>
      </w:r>
      <w:r>
        <w:rPr>
          <w:rFonts w:hint="eastAsia" w:ascii="宋体" w:hAnsi="宋体" w:cs="仿宋"/>
          <w:szCs w:val="21"/>
        </w:rPr>
        <w:t>。重点发展飞机总装和零部件制造产业，发展公务航空运营、航空维修等航空服务产业，建成东北重要的航空产业基地。</w:t>
      </w:r>
      <w:bookmarkEnd w:id="46"/>
    </w:p>
    <w:p>
      <w:pPr>
        <w:spacing w:line="320" w:lineRule="exact"/>
        <w:ind w:firstLine="472" w:firstLineChars="224"/>
        <w:outlineLvl w:val="3"/>
        <w:rPr>
          <w:rFonts w:hint="eastAsia" w:ascii="宋体" w:hAnsi="宋体" w:cs="仿宋"/>
          <w:szCs w:val="21"/>
        </w:rPr>
      </w:pPr>
      <w:bookmarkStart w:id="47" w:name="_Toc443378652"/>
      <w:r>
        <w:rPr>
          <w:rFonts w:hint="eastAsia" w:ascii="宋体" w:hAnsi="宋体" w:cs="仿宋"/>
          <w:b/>
          <w:szCs w:val="21"/>
        </w:rPr>
        <w:t>5.智能绿色制造产业</w:t>
      </w:r>
      <w:r>
        <w:rPr>
          <w:rFonts w:hint="eastAsia" w:ascii="宋体" w:hAnsi="宋体" w:cs="仿宋"/>
          <w:szCs w:val="21"/>
        </w:rPr>
        <w:t>。重点发展智能家电、智能安防系统、家居智能控制、绿色卫浴、节能厨卫等智能绿色家居产业，发展新材料、智能制造装备等产业，建成东北重要的智能绿色制造产业基地。</w:t>
      </w:r>
      <w:bookmarkEnd w:id="47"/>
    </w:p>
    <w:p>
      <w:pPr>
        <w:spacing w:line="320" w:lineRule="exact"/>
        <w:ind w:firstLine="472" w:firstLineChars="224"/>
        <w:outlineLvl w:val="2"/>
        <w:rPr>
          <w:rFonts w:hint="eastAsia" w:ascii="宋体" w:hAnsi="宋体" w:cs="楷体"/>
          <w:b/>
          <w:bCs/>
          <w:szCs w:val="21"/>
        </w:rPr>
      </w:pPr>
      <w:bookmarkStart w:id="48" w:name="_Toc443378653"/>
      <w:r>
        <w:rPr>
          <w:rFonts w:hint="eastAsia" w:ascii="宋体" w:hAnsi="宋体" w:cs="楷体"/>
          <w:b/>
          <w:bCs/>
          <w:szCs w:val="21"/>
        </w:rPr>
        <w:t>二、大力发展现代服务业</w:t>
      </w:r>
      <w:bookmarkEnd w:id="48"/>
    </w:p>
    <w:p>
      <w:pPr>
        <w:spacing w:line="320" w:lineRule="exact"/>
        <w:ind w:firstLine="420" w:firstLineChars="200"/>
        <w:rPr>
          <w:rFonts w:hint="eastAsia" w:ascii="宋体" w:hAnsi="宋体" w:cs="仿宋"/>
          <w:szCs w:val="21"/>
        </w:rPr>
      </w:pPr>
      <w:r>
        <w:rPr>
          <w:rFonts w:hint="eastAsia" w:ascii="宋体" w:hAnsi="宋体" w:cs="仿宋"/>
          <w:szCs w:val="21"/>
        </w:rPr>
        <w:t>重点发展信息与科技文化、金融与总部、电子商务、现代物流、温泉与休闲旅游、高端商贸服务、健康与社区服务、房地产等服务业，加快建设中心城市新都心，成为全市服务业重要增长极。</w:t>
      </w:r>
    </w:p>
    <w:p>
      <w:pPr>
        <w:spacing w:line="320" w:lineRule="exact"/>
        <w:ind w:firstLine="422" w:firstLineChars="200"/>
        <w:outlineLvl w:val="3"/>
        <w:rPr>
          <w:rFonts w:hint="eastAsia" w:ascii="宋体" w:hAnsi="宋体" w:cs="仿宋"/>
          <w:szCs w:val="21"/>
        </w:rPr>
      </w:pPr>
      <w:bookmarkStart w:id="49" w:name="_Toc443378654"/>
      <w:r>
        <w:rPr>
          <w:rFonts w:hint="eastAsia" w:ascii="宋体" w:hAnsi="宋体" w:cs="仿宋"/>
          <w:b/>
          <w:bCs/>
          <w:szCs w:val="21"/>
        </w:rPr>
        <w:t>1.</w:t>
      </w:r>
      <w:bookmarkStart w:id="50" w:name="_Toc258091120"/>
      <w:bookmarkStart w:id="51" w:name="_Toc257756574"/>
      <w:bookmarkStart w:id="52" w:name="_Toc257756049"/>
      <w:bookmarkStart w:id="53" w:name="_Toc257807680"/>
      <w:bookmarkStart w:id="54" w:name="_Toc257756210"/>
      <w:bookmarkStart w:id="55" w:name="_Toc259101809"/>
      <w:r>
        <w:rPr>
          <w:rFonts w:hint="eastAsia" w:ascii="宋体" w:hAnsi="宋体" w:cs="仿宋"/>
          <w:b/>
          <w:bCs/>
          <w:szCs w:val="21"/>
        </w:rPr>
        <w:t>信息与科技文化产业</w:t>
      </w:r>
      <w:bookmarkEnd w:id="50"/>
      <w:bookmarkEnd w:id="51"/>
      <w:bookmarkEnd w:id="52"/>
      <w:bookmarkEnd w:id="53"/>
      <w:bookmarkEnd w:id="54"/>
      <w:bookmarkEnd w:id="55"/>
      <w:r>
        <w:rPr>
          <w:rFonts w:hint="eastAsia" w:ascii="宋体" w:hAnsi="宋体" w:cs="仿宋"/>
          <w:b/>
          <w:bCs/>
          <w:szCs w:val="21"/>
        </w:rPr>
        <w:t>。</w:t>
      </w:r>
      <w:r>
        <w:rPr>
          <w:rFonts w:hint="eastAsia" w:ascii="宋体" w:hAnsi="宋体" w:cs="仿宋"/>
          <w:szCs w:val="21"/>
        </w:rPr>
        <w:t>重点发展软件开发及外包服务、位置与导航服务、科技服务、文化创意等产业。</w:t>
      </w:r>
      <w:bookmarkEnd w:id="49"/>
    </w:p>
    <w:p>
      <w:pPr>
        <w:spacing w:line="320" w:lineRule="exact"/>
        <w:ind w:firstLine="420" w:firstLineChars="200"/>
        <w:outlineLvl w:val="3"/>
        <w:rPr>
          <w:rFonts w:hint="eastAsia" w:ascii="宋体" w:hAnsi="宋体" w:cs="仿宋"/>
          <w:szCs w:val="21"/>
        </w:rPr>
      </w:pPr>
      <w:bookmarkStart w:id="56" w:name="_Toc443378655"/>
      <w:r>
        <w:rPr>
          <w:rFonts w:hint="eastAsia" w:ascii="宋体" w:hAnsi="宋体" w:cs="仿宋"/>
          <w:szCs w:val="21"/>
        </w:rPr>
        <w:t>2.</w:t>
      </w:r>
      <w:r>
        <w:rPr>
          <w:rFonts w:hint="eastAsia" w:ascii="宋体" w:hAnsi="宋体" w:cs="仿宋"/>
          <w:b/>
          <w:bCs/>
          <w:szCs w:val="21"/>
        </w:rPr>
        <w:t>金融与总部产业</w:t>
      </w:r>
      <w:r>
        <w:rPr>
          <w:rFonts w:hint="eastAsia" w:ascii="宋体" w:hAnsi="宋体" w:cs="仿宋"/>
          <w:szCs w:val="21"/>
        </w:rPr>
        <w:t>。重点引进金融企业前台，建设金融后援基地。引进和培育金融总部、商贸流通总部、研发设计总部、文化创意总部等总部型企业。</w:t>
      </w:r>
      <w:bookmarkEnd w:id="56"/>
    </w:p>
    <w:p>
      <w:pPr>
        <w:spacing w:line="320" w:lineRule="exact"/>
        <w:ind w:firstLine="422" w:firstLineChars="200"/>
        <w:outlineLvl w:val="3"/>
        <w:rPr>
          <w:rFonts w:hint="eastAsia" w:ascii="宋体" w:hAnsi="宋体" w:cs="仿宋"/>
          <w:szCs w:val="21"/>
        </w:rPr>
      </w:pPr>
      <w:bookmarkStart w:id="57" w:name="_Toc443378656"/>
      <w:r>
        <w:rPr>
          <w:rFonts w:hint="eastAsia" w:ascii="宋体" w:hAnsi="宋体" w:cs="仿宋"/>
          <w:b/>
          <w:bCs/>
          <w:szCs w:val="21"/>
        </w:rPr>
        <w:t>3.电子商务产业</w:t>
      </w:r>
      <w:r>
        <w:rPr>
          <w:rFonts w:hint="eastAsia" w:ascii="宋体" w:hAnsi="宋体" w:cs="仿宋"/>
          <w:szCs w:val="21"/>
        </w:rPr>
        <w:t>。重点发展电子商务平台及支撑服务体系。</w:t>
      </w:r>
      <w:bookmarkEnd w:id="57"/>
    </w:p>
    <w:p>
      <w:pPr>
        <w:spacing w:line="320" w:lineRule="exact"/>
        <w:ind w:firstLine="422" w:firstLineChars="200"/>
        <w:outlineLvl w:val="3"/>
        <w:rPr>
          <w:rFonts w:hint="eastAsia" w:ascii="宋体" w:hAnsi="宋体" w:cs="仿宋"/>
          <w:szCs w:val="21"/>
        </w:rPr>
      </w:pPr>
      <w:bookmarkStart w:id="58" w:name="_Toc443378657"/>
      <w:r>
        <w:rPr>
          <w:rFonts w:hint="eastAsia" w:ascii="宋体" w:hAnsi="宋体" w:cs="仿宋"/>
          <w:b/>
          <w:bCs/>
          <w:szCs w:val="21"/>
        </w:rPr>
        <w:t>4.现代物流产业</w:t>
      </w:r>
      <w:r>
        <w:rPr>
          <w:rFonts w:hint="eastAsia" w:ascii="宋体" w:hAnsi="宋体" w:cs="仿宋"/>
          <w:szCs w:val="21"/>
        </w:rPr>
        <w:t>。重点发展智慧物流、第三方物流和冷链物流。</w:t>
      </w:r>
      <w:bookmarkEnd w:id="58"/>
    </w:p>
    <w:p>
      <w:pPr>
        <w:spacing w:line="320" w:lineRule="exact"/>
        <w:ind w:firstLine="422" w:firstLineChars="200"/>
        <w:outlineLvl w:val="3"/>
        <w:rPr>
          <w:rFonts w:hint="eastAsia" w:ascii="宋体" w:hAnsi="宋体" w:cs="仿宋"/>
          <w:szCs w:val="21"/>
        </w:rPr>
      </w:pPr>
      <w:bookmarkStart w:id="59" w:name="_Toc443378658"/>
      <w:r>
        <w:rPr>
          <w:rFonts w:hint="eastAsia" w:ascii="宋体" w:hAnsi="宋体" w:cs="仿宋"/>
          <w:b/>
          <w:bCs/>
          <w:szCs w:val="21"/>
        </w:rPr>
        <w:t>5.温泉与休闲旅游业</w:t>
      </w:r>
      <w:r>
        <w:rPr>
          <w:rFonts w:hint="eastAsia" w:ascii="宋体" w:hAnsi="宋体" w:cs="仿宋"/>
          <w:szCs w:val="21"/>
        </w:rPr>
        <w:t>。培育发展温泉产业。重点发展文化旅游、民俗旅游、农业特色旅游等旅游产业。</w:t>
      </w:r>
      <w:bookmarkEnd w:id="59"/>
    </w:p>
    <w:p>
      <w:pPr>
        <w:spacing w:line="320" w:lineRule="exact"/>
        <w:ind w:firstLine="422" w:firstLineChars="200"/>
        <w:outlineLvl w:val="3"/>
        <w:rPr>
          <w:rFonts w:hint="eastAsia" w:ascii="宋体" w:hAnsi="宋体" w:cs="仿宋"/>
          <w:szCs w:val="21"/>
        </w:rPr>
      </w:pPr>
      <w:bookmarkStart w:id="60" w:name="_Toc443378659"/>
      <w:r>
        <w:rPr>
          <w:rFonts w:hint="eastAsia" w:ascii="宋体" w:hAnsi="宋体" w:cs="仿宋"/>
          <w:b/>
          <w:bCs/>
          <w:szCs w:val="21"/>
        </w:rPr>
        <w:t>6.高端商贸服务业</w:t>
      </w:r>
      <w:r>
        <w:rPr>
          <w:rFonts w:hint="eastAsia" w:ascii="宋体" w:hAnsi="宋体" w:cs="仿宋"/>
          <w:b/>
          <w:szCs w:val="21"/>
        </w:rPr>
        <w:t>。</w:t>
      </w:r>
      <w:r>
        <w:rPr>
          <w:rFonts w:hint="eastAsia" w:ascii="宋体" w:hAnsi="宋体" w:cs="仿宋"/>
          <w:szCs w:val="21"/>
        </w:rPr>
        <w:t>重点发展现代商贸服务、会议会展、专业市场等产业。</w:t>
      </w:r>
      <w:bookmarkEnd w:id="60"/>
    </w:p>
    <w:p>
      <w:pPr>
        <w:spacing w:line="320" w:lineRule="exact"/>
        <w:ind w:firstLine="422" w:firstLineChars="200"/>
        <w:outlineLvl w:val="3"/>
        <w:rPr>
          <w:rFonts w:hint="eastAsia" w:ascii="宋体" w:hAnsi="宋体" w:cs="仿宋"/>
          <w:szCs w:val="21"/>
        </w:rPr>
      </w:pPr>
      <w:bookmarkStart w:id="61" w:name="_Toc443378660"/>
      <w:r>
        <w:rPr>
          <w:rFonts w:hint="eastAsia" w:ascii="宋体" w:hAnsi="宋体" w:cs="仿宋"/>
          <w:b/>
          <w:bCs/>
          <w:szCs w:val="21"/>
        </w:rPr>
        <w:t>7.健康与社区服务业</w:t>
      </w:r>
      <w:r>
        <w:rPr>
          <w:rFonts w:hint="eastAsia" w:ascii="宋体" w:hAnsi="宋体" w:cs="仿宋"/>
          <w:szCs w:val="21"/>
        </w:rPr>
        <w:t>。重点发展医疗服务、养老服务、社区与家庭服务等产业。</w:t>
      </w:r>
      <w:bookmarkEnd w:id="61"/>
    </w:p>
    <w:p>
      <w:pPr>
        <w:spacing w:line="320" w:lineRule="exact"/>
        <w:ind w:firstLine="422" w:firstLineChars="200"/>
        <w:outlineLvl w:val="3"/>
        <w:rPr>
          <w:rFonts w:hint="eastAsia" w:ascii="宋体" w:hAnsi="宋体" w:cs="仿宋"/>
          <w:szCs w:val="21"/>
        </w:rPr>
      </w:pPr>
      <w:bookmarkStart w:id="62" w:name="_Toc443378661"/>
      <w:r>
        <w:rPr>
          <w:rFonts w:hint="eastAsia" w:ascii="宋体" w:hAnsi="宋体" w:cs="仿宋"/>
          <w:b/>
          <w:bCs/>
          <w:szCs w:val="21"/>
        </w:rPr>
        <w:t>8.房地产业。</w:t>
      </w:r>
      <w:r>
        <w:rPr>
          <w:rFonts w:hint="eastAsia" w:ascii="宋体" w:hAnsi="宋体" w:cs="仿宋"/>
          <w:szCs w:val="21"/>
        </w:rPr>
        <w:t>重点发展商贸地产、教育地产、旅游地产、养老地产、温泉地产等特色、多元化房地产业，着力打造特色品牌楼宇。</w:t>
      </w:r>
      <w:bookmarkEnd w:id="62"/>
    </w:p>
    <w:p>
      <w:pPr>
        <w:spacing w:line="320" w:lineRule="exact"/>
        <w:ind w:firstLine="422" w:firstLineChars="200"/>
        <w:outlineLvl w:val="2"/>
        <w:rPr>
          <w:rFonts w:hint="eastAsia" w:ascii="宋体" w:hAnsi="宋体" w:cs="楷体"/>
          <w:b/>
          <w:bCs/>
          <w:szCs w:val="21"/>
        </w:rPr>
      </w:pPr>
      <w:bookmarkStart w:id="63" w:name="_Toc443378662"/>
      <w:r>
        <w:rPr>
          <w:rFonts w:hint="eastAsia" w:ascii="宋体" w:hAnsi="宋体" w:cs="楷体"/>
          <w:b/>
          <w:bCs/>
          <w:szCs w:val="21"/>
        </w:rPr>
        <w:t>三、大力发展现代农业</w:t>
      </w:r>
      <w:bookmarkEnd w:id="63"/>
    </w:p>
    <w:p>
      <w:pPr>
        <w:spacing w:line="320" w:lineRule="exact"/>
        <w:ind w:firstLine="420" w:firstLineChars="200"/>
        <w:rPr>
          <w:rFonts w:hint="eastAsia" w:ascii="宋体" w:hAnsi="宋体" w:cs="仿宋"/>
          <w:szCs w:val="21"/>
        </w:rPr>
      </w:pPr>
      <w:r>
        <w:rPr>
          <w:rFonts w:hint="eastAsia" w:ascii="宋体" w:hAnsi="宋体" w:cs="仿宋"/>
          <w:szCs w:val="21"/>
        </w:rPr>
        <w:t>重点发展规模化养殖、现代良种、农产品加工、农产品物流、休闲观光农业、设施蔬菜花卉、绿色有机水稻、特色苗木林果等现代农业，建成全国现代农业示范区。</w:t>
      </w:r>
    </w:p>
    <w:p>
      <w:pPr>
        <w:spacing w:line="320" w:lineRule="exact"/>
        <w:jc w:val="center"/>
        <w:outlineLvl w:val="1"/>
        <w:rPr>
          <w:rFonts w:hint="eastAsia" w:ascii="黑体" w:hAnsi="宋体" w:eastAsia="黑体" w:cs="黑体"/>
          <w:sz w:val="24"/>
        </w:rPr>
      </w:pPr>
      <w:bookmarkStart w:id="64" w:name="_Toc443378663"/>
      <w:r>
        <w:rPr>
          <w:rFonts w:hint="eastAsia" w:ascii="黑体" w:hAnsi="宋体" w:eastAsia="黑体" w:cs="黑体"/>
          <w:sz w:val="24"/>
        </w:rPr>
        <w:t>第五节 发展社会事业，切实改善民生</w:t>
      </w:r>
      <w:bookmarkEnd w:id="64"/>
    </w:p>
    <w:p>
      <w:pPr>
        <w:spacing w:line="320" w:lineRule="exact"/>
        <w:ind w:firstLine="420" w:firstLineChars="200"/>
        <w:rPr>
          <w:rFonts w:hint="eastAsia" w:ascii="宋体" w:hAnsi="宋体" w:cs="仿宋"/>
          <w:szCs w:val="21"/>
        </w:rPr>
      </w:pPr>
      <w:r>
        <w:rPr>
          <w:rFonts w:hint="eastAsia" w:ascii="宋体" w:hAnsi="宋体" w:cs="仿宋"/>
          <w:szCs w:val="21"/>
        </w:rPr>
        <w:t>社会保障实现全覆盖，教育实现现代化，建成十五分钟医疗服务圈、十五分钟文化圈、十分钟健身圈，建立起比较完善的公共服务体系，公共服务基本实现优质均衡发展。</w:t>
      </w:r>
    </w:p>
    <w:p>
      <w:pPr>
        <w:spacing w:line="320" w:lineRule="exact"/>
        <w:ind w:firstLine="472" w:firstLineChars="224"/>
        <w:outlineLvl w:val="2"/>
        <w:rPr>
          <w:rFonts w:hint="eastAsia" w:ascii="宋体" w:hAnsi="宋体" w:cs="楷体"/>
          <w:b/>
          <w:bCs/>
          <w:szCs w:val="21"/>
        </w:rPr>
      </w:pPr>
      <w:bookmarkStart w:id="65" w:name="_Toc443378664"/>
      <w:r>
        <w:rPr>
          <w:rFonts w:hint="eastAsia" w:ascii="宋体" w:hAnsi="宋体" w:cs="楷体"/>
          <w:b/>
          <w:bCs/>
          <w:szCs w:val="21"/>
        </w:rPr>
        <w:t>一、确保充分就业</w:t>
      </w:r>
      <w:bookmarkEnd w:id="65"/>
    </w:p>
    <w:p>
      <w:pPr>
        <w:spacing w:line="320" w:lineRule="exact"/>
        <w:ind w:firstLine="420" w:firstLineChars="200"/>
        <w:rPr>
          <w:rFonts w:hint="eastAsia" w:ascii="宋体" w:hAnsi="宋体" w:cs="仿宋"/>
          <w:szCs w:val="21"/>
        </w:rPr>
      </w:pPr>
      <w:r>
        <w:rPr>
          <w:rFonts w:hint="eastAsia" w:ascii="宋体" w:hAnsi="宋体" w:cs="仿宋"/>
          <w:szCs w:val="21"/>
        </w:rPr>
        <w:t>“十三五”时期新增城乡就业6.3万人，城镇登记失业率控制在3%以内；发放小额贷款3000万元，扶持创业带头人500人，带动3000人就业；确保登记失业困难家庭高校毕业生100%就业，有就业能力和就业意愿的困难群体全部实现就业。</w:t>
      </w:r>
    </w:p>
    <w:p>
      <w:pPr>
        <w:spacing w:line="320" w:lineRule="exact"/>
        <w:ind w:firstLine="472" w:firstLineChars="224"/>
        <w:outlineLvl w:val="2"/>
        <w:rPr>
          <w:rFonts w:hint="eastAsia" w:ascii="宋体" w:hAnsi="宋体" w:cs="楷体"/>
          <w:b/>
          <w:bCs/>
          <w:szCs w:val="21"/>
        </w:rPr>
      </w:pPr>
      <w:bookmarkStart w:id="66" w:name="_Toc443378665"/>
      <w:r>
        <w:rPr>
          <w:rFonts w:hint="eastAsia" w:ascii="宋体" w:hAnsi="宋体" w:cs="楷体"/>
          <w:b/>
          <w:bCs/>
          <w:szCs w:val="21"/>
        </w:rPr>
        <w:t>二、加强社会保障</w:t>
      </w:r>
      <w:bookmarkEnd w:id="66"/>
    </w:p>
    <w:p>
      <w:pPr>
        <w:spacing w:line="320" w:lineRule="exact"/>
        <w:ind w:firstLine="420" w:firstLineChars="200"/>
        <w:rPr>
          <w:rFonts w:hint="eastAsia" w:ascii="宋体" w:hAnsi="宋体" w:cs="仿宋"/>
          <w:szCs w:val="21"/>
        </w:rPr>
      </w:pPr>
      <w:r>
        <w:rPr>
          <w:rFonts w:hint="eastAsia" w:ascii="宋体" w:hAnsi="宋体" w:cs="仿宋"/>
          <w:szCs w:val="21"/>
        </w:rPr>
        <w:t>“十三五”时期城镇职工基本养老保险参保人数达到17万人；医疗保险参保人数达到13.5万人，城镇职工和居民基本医疗保险政策范围内住院费用支付比例达到75%以上，最高支付限额达到全市职工年均工资；失业保险参保人数达到8.3万人，个人缴费记录建账率达到100%。被征地农民应保尽保，养老保障覆盖率达到98%。支持民办养老院发展，积极推进社会化养老，加强居家养老的社会化服务。</w:t>
      </w:r>
    </w:p>
    <w:p>
      <w:pPr>
        <w:spacing w:line="320" w:lineRule="exact"/>
        <w:ind w:firstLine="472" w:firstLineChars="224"/>
        <w:outlineLvl w:val="2"/>
        <w:rPr>
          <w:rFonts w:hint="eastAsia" w:ascii="宋体" w:hAnsi="宋体" w:cs="楷体"/>
          <w:b/>
          <w:bCs/>
          <w:szCs w:val="21"/>
        </w:rPr>
      </w:pPr>
      <w:bookmarkStart w:id="67" w:name="_Toc443378666"/>
      <w:r>
        <w:rPr>
          <w:rFonts w:hint="eastAsia" w:ascii="宋体" w:hAnsi="宋体" w:cs="楷体"/>
          <w:b/>
          <w:bCs/>
          <w:szCs w:val="21"/>
        </w:rPr>
        <w:t>三、推进教育优质均衡发展</w:t>
      </w:r>
      <w:bookmarkEnd w:id="67"/>
    </w:p>
    <w:p>
      <w:pPr>
        <w:spacing w:line="320" w:lineRule="exact"/>
        <w:ind w:firstLine="420" w:firstLineChars="200"/>
        <w:rPr>
          <w:rFonts w:hint="eastAsia" w:ascii="宋体" w:hAnsi="宋体" w:cs="仿宋"/>
          <w:szCs w:val="21"/>
        </w:rPr>
      </w:pPr>
      <w:r>
        <w:rPr>
          <w:rFonts w:hint="eastAsia" w:ascii="宋体" w:hAnsi="宋体" w:cs="仿宋"/>
          <w:szCs w:val="21"/>
        </w:rPr>
        <w:t>到2020年建成完善的终身教育体系，全面实现教育现代化，教育综合发展水平进入全市先进行列。</w:t>
      </w:r>
    </w:p>
    <w:p>
      <w:pPr>
        <w:spacing w:line="320" w:lineRule="exact"/>
        <w:ind w:firstLine="422" w:firstLineChars="200"/>
        <w:outlineLvl w:val="3"/>
        <w:rPr>
          <w:rFonts w:hint="eastAsia" w:ascii="宋体" w:hAnsi="宋体" w:cs="仿宋"/>
          <w:szCs w:val="21"/>
        </w:rPr>
      </w:pPr>
      <w:bookmarkStart w:id="68" w:name="_Toc443378667"/>
      <w:r>
        <w:rPr>
          <w:rFonts w:hint="eastAsia" w:ascii="宋体" w:hAnsi="宋体" w:cs="仿宋"/>
          <w:b/>
          <w:szCs w:val="21"/>
        </w:rPr>
        <w:t>1.百姓受教育程度不断提高</w:t>
      </w:r>
      <w:r>
        <w:rPr>
          <w:rFonts w:hint="eastAsia" w:ascii="宋体" w:hAnsi="宋体" w:cs="仿宋"/>
          <w:szCs w:val="21"/>
        </w:rPr>
        <w:t>。全区学前教育普惠水平显著提高，学前教育入园率达100%，小学和初中入学率保持在100%，高中毛入学率达99.5%以上，高等教育毛入学率达到40%以上，无青壮年文盲，新增劳动力平均受教育年限从14.6年提高到15.3年，主要劳动年龄人口平均受教育年限从13.5年提高到14.2年，其中受过高等教育的比例达到20%以上。</w:t>
      </w:r>
      <w:bookmarkEnd w:id="68"/>
    </w:p>
    <w:p>
      <w:pPr>
        <w:spacing w:line="320" w:lineRule="exact"/>
        <w:ind w:firstLine="422" w:firstLineChars="200"/>
        <w:outlineLvl w:val="3"/>
        <w:rPr>
          <w:rFonts w:ascii="宋体" w:hAnsi="宋体" w:cs="仿宋"/>
          <w:szCs w:val="21"/>
        </w:rPr>
      </w:pPr>
      <w:bookmarkStart w:id="69" w:name="_Toc443378668"/>
      <w:r>
        <w:rPr>
          <w:rFonts w:hint="eastAsia" w:ascii="宋体" w:hAnsi="宋体" w:cs="仿宋"/>
          <w:b/>
          <w:szCs w:val="21"/>
        </w:rPr>
        <w:t>2.基础教育发展进入全市先进水平</w:t>
      </w:r>
      <w:r>
        <w:rPr>
          <w:rFonts w:hint="eastAsia" w:ascii="宋体" w:hAnsi="宋体" w:cs="仿宋"/>
          <w:szCs w:val="21"/>
        </w:rPr>
        <w:t>。确保教育投入，投资建设5所学校，对76中学等4所学校进行扩建和改造，全面完成标准化学校建设，实现学校办学条件基本均衡，基本实现教育现代化。加大学前教育投入力度，推进学前教育普惠发展。完成教育集团化改革任务，深化现代学校制度建设，实现义务教育均衡优质发展。</w:t>
      </w:r>
      <w:bookmarkEnd w:id="69"/>
    </w:p>
    <w:p>
      <w:pPr>
        <w:spacing w:line="320" w:lineRule="exact"/>
        <w:ind w:firstLine="422" w:firstLineChars="200"/>
        <w:outlineLvl w:val="3"/>
        <w:rPr>
          <w:rFonts w:hint="eastAsia" w:ascii="宋体" w:hAnsi="宋体" w:cs="仿宋"/>
          <w:szCs w:val="21"/>
        </w:rPr>
      </w:pPr>
      <w:bookmarkStart w:id="70" w:name="_Toc443378669"/>
      <w:r>
        <w:rPr>
          <w:rFonts w:hint="eastAsia" w:ascii="宋体" w:hAnsi="宋体" w:cs="仿宋"/>
          <w:b/>
          <w:szCs w:val="21"/>
        </w:rPr>
        <w:t>3.教师队伍素质整体提高</w:t>
      </w:r>
      <w:r>
        <w:rPr>
          <w:rFonts w:hint="eastAsia" w:ascii="宋体" w:hAnsi="宋体" w:cs="仿宋"/>
          <w:szCs w:val="21"/>
        </w:rPr>
        <w:t>。到2020年，全区幼儿园教师专科及以上学历达90%以上。小学专任教师专科及以上学历达100%，初、高中专任教师本科及以上学历达100%，高中教师研究生（含同等学历）比例达30%以上，校级干部（含幼儿园园长）研究生学历（含同等学历）比率达40%以上。全区区级（含区级）以上骨干教师人数达1500人，占一线教师的60%以上。</w:t>
      </w:r>
      <w:bookmarkEnd w:id="70"/>
    </w:p>
    <w:p>
      <w:pPr>
        <w:spacing w:line="320" w:lineRule="exact"/>
        <w:ind w:firstLine="422" w:firstLineChars="200"/>
        <w:outlineLvl w:val="3"/>
        <w:rPr>
          <w:rFonts w:hint="eastAsia" w:ascii="宋体" w:hAnsi="宋体" w:cs="仿宋"/>
          <w:szCs w:val="21"/>
        </w:rPr>
      </w:pPr>
      <w:bookmarkStart w:id="71" w:name="_Toc443378670"/>
      <w:r>
        <w:rPr>
          <w:rFonts w:hint="eastAsia" w:ascii="宋体" w:hAnsi="宋体" w:cs="仿宋"/>
          <w:b/>
          <w:szCs w:val="21"/>
        </w:rPr>
        <w:t>4.推进终身教育体系建设</w:t>
      </w:r>
      <w:r>
        <w:rPr>
          <w:rFonts w:hint="eastAsia" w:ascii="宋体" w:hAnsi="宋体" w:cs="仿宋"/>
          <w:szCs w:val="21"/>
        </w:rPr>
        <w:t>。支持高等教育和职业教育发展。发挥社区学院功能，开发社区教育课程，开辟社区教育网络，形成社区教育资源库，开展送课进社区工作，促进家庭教育、学校教育、社会教育的互动，推动我区社区教育与社区建设同步发展。</w:t>
      </w:r>
      <w:bookmarkEnd w:id="71"/>
    </w:p>
    <w:p>
      <w:pPr>
        <w:spacing w:line="320" w:lineRule="exact"/>
        <w:ind w:firstLine="472" w:firstLineChars="224"/>
        <w:outlineLvl w:val="2"/>
        <w:rPr>
          <w:rFonts w:hint="eastAsia" w:ascii="宋体" w:hAnsi="宋体" w:cs="楷体"/>
          <w:b/>
          <w:bCs/>
          <w:szCs w:val="21"/>
        </w:rPr>
      </w:pPr>
      <w:bookmarkStart w:id="72" w:name="_Toc443378671"/>
      <w:r>
        <w:rPr>
          <w:rFonts w:hint="eastAsia" w:ascii="宋体" w:hAnsi="宋体" w:cs="楷体"/>
          <w:b/>
          <w:bCs/>
          <w:szCs w:val="21"/>
        </w:rPr>
        <w:t>四、大力发展卫生事业</w:t>
      </w:r>
      <w:bookmarkEnd w:id="72"/>
    </w:p>
    <w:p>
      <w:pPr>
        <w:spacing w:line="320" w:lineRule="exact"/>
        <w:ind w:firstLine="420" w:firstLineChars="200"/>
        <w:rPr>
          <w:rFonts w:hint="eastAsia" w:ascii="宋体" w:hAnsi="宋体" w:cs="仿宋"/>
          <w:szCs w:val="21"/>
        </w:rPr>
      </w:pPr>
      <w:r>
        <w:rPr>
          <w:rFonts w:hint="eastAsia" w:ascii="宋体" w:hAnsi="宋体" w:cs="仿宋"/>
          <w:szCs w:val="21"/>
        </w:rPr>
        <w:t>到2020年，全面建立覆盖城乡居民的基本医疗卫生服务体系，城乡居民人人拥有较高水平的基本医疗保障，城乡之间和不同人群之间的健康状况和卫生资源配置差异明显缩小，居民健康生活质量明显改善，人群主要健康指标明显提高。全区居民人均期望寿命达到80岁；孕产妇死亡率和5岁以下儿童死亡率分别控制在11/10万和7‰以下；城镇居民医疗保险和农村居民合作医疗参合率达100%，政策范围内住院补偿率达到70%以上；政府卫生投入占经常性财政支出的比例在5%以上；每千人执业（助理）医师数不低于2.5人，每千人注册护士数不低于2人，每千人床位数达到4.5张；居民社区卫生服务覆盖率95%以上；居民15分钟到达医疗卫生机构的比例达到95%以上；居民健康知识知晓率达到90%以上；主要慢性病社区规范管理率达到60%以上；城乡居民社区门诊就诊比例达到60%以上。</w:t>
      </w:r>
    </w:p>
    <w:p>
      <w:pPr>
        <w:spacing w:line="320" w:lineRule="exact"/>
        <w:ind w:firstLine="422" w:firstLineChars="200"/>
        <w:outlineLvl w:val="3"/>
        <w:rPr>
          <w:rFonts w:hint="eastAsia" w:ascii="宋体" w:hAnsi="宋体" w:cs="仿宋_GB2312"/>
          <w:szCs w:val="21"/>
        </w:rPr>
      </w:pPr>
      <w:bookmarkStart w:id="73" w:name="_Toc443378672"/>
      <w:r>
        <w:rPr>
          <w:rFonts w:hint="eastAsia" w:ascii="宋体" w:hAnsi="宋体" w:cs="仿宋_GB2312"/>
          <w:b/>
          <w:bCs/>
          <w:szCs w:val="21"/>
        </w:rPr>
        <w:t>1.推进基本医疗保障制度建设。</w:t>
      </w:r>
      <w:r>
        <w:rPr>
          <w:rFonts w:hint="eastAsia" w:ascii="宋体" w:hAnsi="宋体" w:cs="仿宋_GB2312"/>
          <w:szCs w:val="21"/>
        </w:rPr>
        <w:t>不断完善合作医疗政策，规范筹资机制、筹资标准、参保对象、起报线、封顶线、补偿水平、结报方式和管理形式，逐步提高城乡居民医疗保障筹资标准和保障水平，调整医保报销政策。规范城乡居民医疗保障基金管理。积极探索按总额预付、按病种付费和按人头付费等支付方式改革，强化基金监管。完善城乡一体化的基本医疗保障制度，加快农村居民合作医疗与城镇职工基本医疗保险、城镇居民基本医疗保险在制度与管理上的衔接和并轨，不断缩小不同保障制度间保障差距，逐步整合基本医疗保障经办管理资源。</w:t>
      </w:r>
      <w:bookmarkEnd w:id="73"/>
    </w:p>
    <w:p>
      <w:pPr>
        <w:spacing w:line="320" w:lineRule="exact"/>
        <w:ind w:firstLine="422" w:firstLineChars="200"/>
        <w:outlineLvl w:val="3"/>
        <w:rPr>
          <w:rFonts w:hint="eastAsia" w:ascii="宋体" w:hAnsi="宋体" w:cs="仿宋_GB2312"/>
          <w:szCs w:val="21"/>
        </w:rPr>
      </w:pPr>
      <w:bookmarkStart w:id="74" w:name="_Toc443378673"/>
      <w:r>
        <w:rPr>
          <w:rFonts w:hint="eastAsia" w:ascii="宋体" w:hAnsi="宋体" w:cs="仿宋_GB2312"/>
          <w:b/>
          <w:bCs/>
          <w:szCs w:val="21"/>
        </w:rPr>
        <w:t>2.全面实施国家基本药物制度。</w:t>
      </w:r>
      <w:r>
        <w:rPr>
          <w:rFonts w:hint="eastAsia" w:ascii="宋体" w:hAnsi="宋体" w:cs="仿宋_GB2312"/>
          <w:szCs w:val="21"/>
        </w:rPr>
        <w:t>全面实施国家基本药物制度,逐步扩大基本药物覆盖面，实行零差率销售，建立基本药物优先选择和合理使用制度,加强基本药物的采供和安全管理。</w:t>
      </w:r>
      <w:bookmarkEnd w:id="74"/>
    </w:p>
    <w:p>
      <w:pPr>
        <w:spacing w:line="320" w:lineRule="exact"/>
        <w:ind w:firstLine="422" w:firstLineChars="200"/>
        <w:outlineLvl w:val="3"/>
        <w:rPr>
          <w:rFonts w:hint="eastAsia" w:ascii="宋体" w:hAnsi="宋体" w:cs="仿宋_GB2312"/>
          <w:szCs w:val="21"/>
        </w:rPr>
      </w:pPr>
      <w:bookmarkStart w:id="75" w:name="_Toc443378674"/>
      <w:r>
        <w:rPr>
          <w:rFonts w:hint="eastAsia" w:ascii="宋体" w:hAnsi="宋体" w:cs="仿宋_GB2312"/>
          <w:b/>
          <w:bCs/>
          <w:szCs w:val="21"/>
        </w:rPr>
        <w:t>3.健全医疗卫生服务体系。</w:t>
      </w:r>
      <w:r>
        <w:rPr>
          <w:rFonts w:hint="eastAsia" w:ascii="宋体" w:hAnsi="宋体" w:cs="仿宋_GB2312"/>
          <w:szCs w:val="21"/>
        </w:rPr>
        <w:t>推进辽宁权健肿瘤医院、沈北新区中医院建设，盛京沈北医院、道义卫生服务中心建设完成并投入使用。加强基层医疗卫生服务机构的规范化和标准化建设，提升基层医疗卫生服务能力，充分发挥城乡社区卫生服务机构在维护基本医疗卫生服务公益性中的基础性作用。推进医疗卫生体制改革，建立基层医疗卫生机构管理服务新机制。</w:t>
      </w:r>
      <w:bookmarkEnd w:id="75"/>
    </w:p>
    <w:p>
      <w:pPr>
        <w:spacing w:line="320" w:lineRule="exact"/>
        <w:ind w:firstLine="472" w:firstLineChars="224"/>
        <w:outlineLvl w:val="3"/>
        <w:rPr>
          <w:rFonts w:hint="eastAsia" w:ascii="宋体" w:hAnsi="宋体" w:cs="仿宋"/>
          <w:szCs w:val="21"/>
        </w:rPr>
      </w:pPr>
      <w:bookmarkStart w:id="76" w:name="_Toc443378675"/>
      <w:r>
        <w:rPr>
          <w:rFonts w:hint="eastAsia" w:ascii="宋体" w:hAnsi="宋体" w:cs="仿宋_GB2312"/>
          <w:b/>
          <w:bCs/>
          <w:szCs w:val="21"/>
        </w:rPr>
        <w:t>4.促进基本公共卫生服务均等化。</w:t>
      </w:r>
      <w:r>
        <w:rPr>
          <w:rFonts w:hint="eastAsia" w:ascii="宋体" w:hAnsi="宋体" w:cs="仿宋_GB2312"/>
          <w:szCs w:val="21"/>
        </w:rPr>
        <w:t>建立健全疾病预防控制、妇幼保健、精神卫生、应急救治、采供血、卫生监督等专业公共卫生服务网络，完善以基层医疗卫生服务网络为基础的公共卫生服务功能，建立分工明确、信息互通、资源共享、协调互动的公共卫生服务体系，提高公共卫生服务和突发公共卫生事件应急处置能力，促进城乡居民享有均等化的基本公共卫生服务。</w:t>
      </w:r>
      <w:bookmarkEnd w:id="76"/>
    </w:p>
    <w:p>
      <w:pPr>
        <w:spacing w:line="320" w:lineRule="exact"/>
        <w:ind w:firstLine="472" w:firstLineChars="224"/>
        <w:outlineLvl w:val="2"/>
        <w:rPr>
          <w:rFonts w:hint="eastAsia" w:ascii="宋体" w:hAnsi="宋体" w:cs="仿宋"/>
          <w:b/>
          <w:bCs/>
          <w:szCs w:val="21"/>
        </w:rPr>
      </w:pPr>
      <w:bookmarkStart w:id="77" w:name="_Toc443378676"/>
      <w:r>
        <w:rPr>
          <w:rFonts w:hint="eastAsia" w:ascii="宋体" w:hAnsi="宋体" w:cs="仿宋"/>
          <w:b/>
          <w:bCs/>
          <w:szCs w:val="21"/>
        </w:rPr>
        <w:t>五、增强文化软实力</w:t>
      </w:r>
      <w:bookmarkEnd w:id="77"/>
    </w:p>
    <w:p>
      <w:pPr>
        <w:spacing w:line="320" w:lineRule="exact"/>
        <w:ind w:firstLine="420" w:firstLineChars="200"/>
        <w:rPr>
          <w:rFonts w:hint="eastAsia" w:ascii="宋体" w:hAnsi="宋体" w:cs="宋体"/>
          <w:bCs/>
          <w:kern w:val="0"/>
          <w:szCs w:val="21"/>
        </w:rPr>
      </w:pPr>
      <w:r>
        <w:rPr>
          <w:rFonts w:hint="eastAsia" w:ascii="宋体" w:hAnsi="宋体" w:cs="宋体"/>
          <w:color w:val="000000"/>
          <w:kern w:val="0"/>
          <w:szCs w:val="21"/>
          <w:shd w:val="clear" w:color="auto" w:fill="FFFFFF"/>
        </w:rPr>
        <w:t>到2020年，建成全面覆盖、功能完善、特色突出的现代公共文化服务体系，积极创建全国公共文化服务体系示范区和</w:t>
      </w:r>
      <w:r>
        <w:rPr>
          <w:rFonts w:hint="eastAsia" w:ascii="宋体" w:hAnsi="宋体" w:cs="宋体"/>
          <w:bCs/>
          <w:kern w:val="0"/>
          <w:szCs w:val="21"/>
        </w:rPr>
        <w:t>国家文化产业试验区。</w:t>
      </w:r>
    </w:p>
    <w:p>
      <w:pPr>
        <w:spacing w:line="320" w:lineRule="exact"/>
        <w:ind w:firstLine="472" w:firstLineChars="224"/>
        <w:outlineLvl w:val="3"/>
        <w:rPr>
          <w:rFonts w:hint="eastAsia" w:ascii="宋体" w:hAnsi="宋体" w:cs="宋体"/>
          <w:bCs/>
          <w:kern w:val="0"/>
          <w:szCs w:val="21"/>
        </w:rPr>
      </w:pPr>
      <w:bookmarkStart w:id="78" w:name="_Toc443378677"/>
      <w:r>
        <w:rPr>
          <w:rFonts w:hint="eastAsia" w:ascii="宋体" w:hAnsi="宋体" w:cs="宋体"/>
          <w:b/>
          <w:kern w:val="0"/>
          <w:szCs w:val="21"/>
        </w:rPr>
        <w:t>1.公共文化服务设施全面优化升级。</w:t>
      </w:r>
      <w:r>
        <w:rPr>
          <w:rFonts w:hint="eastAsia" w:ascii="宋体" w:hAnsi="宋体" w:cs="宋体"/>
          <w:bCs/>
          <w:kern w:val="0"/>
          <w:szCs w:val="21"/>
        </w:rPr>
        <w:t>按照结构优化、布局合理、发展平衡、网络健全、运行有效、功能完善、惠及全民的原则，全面加强文化服务设施建设，每万人拥有“三馆一站”公共文化设施400平米以上，有线电视数字化入户率95%以上，固定宽带家庭普及率70%以上。完成锡伯族博物馆建设，街道全部建有综合文化站，社区设置文化活动室和公共电子阅览室。加强文化健身广场建设，实现城区平均每千人拥有一个户外文化健身广场、面积不少于300平方米，每个行政村都建有文化健身广场。投入500万元增加健身器材，打造沈北智慧体育服务平台。</w:t>
      </w:r>
      <w:bookmarkEnd w:id="78"/>
    </w:p>
    <w:p>
      <w:pPr>
        <w:spacing w:line="320" w:lineRule="exact"/>
        <w:ind w:firstLine="472" w:firstLineChars="224"/>
        <w:outlineLvl w:val="3"/>
        <w:rPr>
          <w:rFonts w:hint="eastAsia" w:ascii="宋体" w:hAnsi="宋体" w:cs="宋体"/>
          <w:bCs/>
          <w:kern w:val="0"/>
          <w:szCs w:val="21"/>
        </w:rPr>
      </w:pPr>
      <w:bookmarkStart w:id="79" w:name="_Toc443378678"/>
      <w:r>
        <w:rPr>
          <w:rFonts w:hint="eastAsia" w:ascii="宋体" w:hAnsi="宋体" w:cs="宋体"/>
          <w:b/>
          <w:kern w:val="0"/>
          <w:szCs w:val="21"/>
        </w:rPr>
        <w:t>2.丰富公共文化供给。</w:t>
      </w:r>
      <w:r>
        <w:rPr>
          <w:rFonts w:hint="eastAsia" w:ascii="宋体" w:hAnsi="宋体" w:cs="宋体"/>
          <w:bCs/>
          <w:kern w:val="0"/>
          <w:szCs w:val="21"/>
        </w:rPr>
        <w:t>繁荣群众文化生活，提高居民文明素质，每年送文化下乡演出150场以上，放映电影3000场以上，开展地区性文化活动80场以上，举办各类基层文化活动800场以上，开展体育活动50场以上。</w:t>
      </w:r>
      <w:bookmarkEnd w:id="79"/>
    </w:p>
    <w:p>
      <w:pPr>
        <w:spacing w:line="320" w:lineRule="exact"/>
        <w:ind w:firstLine="472" w:firstLineChars="224"/>
        <w:outlineLvl w:val="3"/>
        <w:rPr>
          <w:rFonts w:hint="eastAsia" w:ascii="宋体" w:hAnsi="宋体" w:cs="宋体"/>
          <w:bCs/>
          <w:kern w:val="0"/>
          <w:szCs w:val="21"/>
        </w:rPr>
      </w:pPr>
      <w:bookmarkStart w:id="80" w:name="_Toc443378679"/>
      <w:r>
        <w:rPr>
          <w:rFonts w:hint="eastAsia" w:ascii="宋体" w:hAnsi="宋体" w:cs="宋体"/>
          <w:b/>
          <w:kern w:val="0"/>
          <w:szCs w:val="21"/>
        </w:rPr>
        <w:t>3.加强文化遗产保护传承。</w:t>
      </w:r>
      <w:r>
        <w:rPr>
          <w:rFonts w:hint="eastAsia" w:ascii="宋体" w:hAnsi="宋体" w:cs="宋体"/>
          <w:bCs/>
          <w:kern w:val="0"/>
          <w:szCs w:val="21"/>
        </w:rPr>
        <w:t>着力打造民族特色村，积极组织申报各类文化遗产项目，深度挖掘文化遗产的旅游价值，健全文物保护网络。加强对非物质文化传承人的培养，推进非物质文化遗产保护传承基地建设，积极创建国家级锡伯族文化生态保护区。</w:t>
      </w:r>
      <w:bookmarkEnd w:id="80"/>
    </w:p>
    <w:p>
      <w:pPr>
        <w:spacing w:line="320" w:lineRule="exact"/>
        <w:ind w:firstLine="422" w:firstLineChars="200"/>
        <w:outlineLvl w:val="3"/>
        <w:rPr>
          <w:rFonts w:hint="eastAsia" w:ascii="宋体" w:hAnsi="宋体" w:cs="仿宋"/>
          <w:szCs w:val="21"/>
        </w:rPr>
      </w:pPr>
      <w:bookmarkStart w:id="81" w:name="_Toc443378680"/>
      <w:r>
        <w:rPr>
          <w:rFonts w:hint="eastAsia" w:ascii="宋体" w:hAnsi="宋体" w:cs="宋体"/>
          <w:b/>
          <w:kern w:val="0"/>
          <w:szCs w:val="21"/>
        </w:rPr>
        <w:t>4.大力发展文化体育产业。</w:t>
      </w:r>
      <w:r>
        <w:rPr>
          <w:rFonts w:hint="eastAsia" w:ascii="宋体" w:hAnsi="宋体" w:cs="宋体"/>
          <w:bCs/>
          <w:kern w:val="0"/>
          <w:szCs w:val="21"/>
        </w:rPr>
        <w:t>推进央视影视基地等文化体育项目建设，重点发展文化创意、健身旅游等文化体育产业，文化产业增加值占GDP的5%以上。</w:t>
      </w:r>
      <w:bookmarkEnd w:id="81"/>
    </w:p>
    <w:p>
      <w:pPr>
        <w:spacing w:line="320" w:lineRule="exact"/>
        <w:ind w:firstLine="472" w:firstLineChars="224"/>
        <w:outlineLvl w:val="2"/>
        <w:rPr>
          <w:rFonts w:hint="eastAsia" w:ascii="宋体" w:hAnsi="宋体" w:cs="仿宋"/>
          <w:b/>
          <w:bCs/>
          <w:szCs w:val="21"/>
        </w:rPr>
      </w:pPr>
      <w:bookmarkStart w:id="82" w:name="_Toc443378681"/>
      <w:r>
        <w:rPr>
          <w:rFonts w:hint="eastAsia" w:ascii="宋体" w:hAnsi="宋体" w:cs="仿宋"/>
          <w:b/>
          <w:bCs/>
          <w:szCs w:val="21"/>
        </w:rPr>
        <w:t>六、促进农民增收致富</w:t>
      </w:r>
      <w:bookmarkEnd w:id="82"/>
    </w:p>
    <w:p>
      <w:pPr>
        <w:spacing w:line="320" w:lineRule="exact"/>
        <w:ind w:firstLine="413" w:firstLineChars="196"/>
        <w:outlineLvl w:val="3"/>
        <w:rPr>
          <w:rFonts w:hint="eastAsia" w:ascii="宋体" w:hAnsi="宋体"/>
          <w:szCs w:val="21"/>
        </w:rPr>
      </w:pPr>
      <w:bookmarkStart w:id="83" w:name="_Toc443378682"/>
      <w:r>
        <w:rPr>
          <w:rFonts w:hint="eastAsia" w:ascii="宋体" w:hAnsi="宋体" w:cs="宋体"/>
          <w:b/>
          <w:kern w:val="0"/>
          <w:szCs w:val="21"/>
        </w:rPr>
        <w:t>1.锁定八大主导产业，搭建农村致富增收平台</w:t>
      </w:r>
      <w:r>
        <w:rPr>
          <w:rFonts w:hint="eastAsia" w:ascii="宋体" w:hAnsi="宋体" w:cs="仿宋"/>
          <w:b/>
          <w:kern w:val="0"/>
          <w:szCs w:val="21"/>
        </w:rPr>
        <w:t>。</w:t>
      </w:r>
      <w:r>
        <w:rPr>
          <w:rFonts w:hint="eastAsia" w:ascii="宋体" w:hAnsi="宋体" w:cs="宋体"/>
          <w:color w:val="000000"/>
          <w:szCs w:val="21"/>
        </w:rPr>
        <w:t>依托沈北的优势资源和产业基础，大力调整优化种植结构，重点发展“八大产业”，</w:t>
      </w:r>
      <w:r>
        <w:rPr>
          <w:rFonts w:ascii="宋体" w:hAnsi="宋体" w:cs="宋体"/>
          <w:color w:val="000000"/>
          <w:szCs w:val="21"/>
        </w:rPr>
        <w:t>打造</w:t>
      </w:r>
      <w:r>
        <w:rPr>
          <w:rFonts w:hint="eastAsia" w:ascii="宋体" w:hAnsi="宋体" w:cs="宋体"/>
          <w:color w:val="000000"/>
          <w:szCs w:val="21"/>
        </w:rPr>
        <w:t>10万亩绿色水稻生产基地、15万亩青贮基地、万亩绿色蔬菜种植基地、万亩猕猴桃种植基地、万亩红树莓种植基地、万亩观光牧场、万亩种业基地、万亩苗木花卉基地等20个万亩农业生产基地，形成</w:t>
      </w:r>
      <w:r>
        <w:rPr>
          <w:rFonts w:ascii="宋体" w:hAnsi="宋体" w:cs="宋体"/>
          <w:color w:val="000000"/>
          <w:szCs w:val="21"/>
        </w:rPr>
        <w:t>集</w:t>
      </w:r>
      <w:r>
        <w:rPr>
          <w:rFonts w:hint="eastAsia" w:ascii="宋体" w:hAnsi="宋体" w:cs="宋体"/>
          <w:color w:val="000000"/>
          <w:szCs w:val="21"/>
        </w:rPr>
        <w:t>规模化养殖、绿色有机水稻、现代良种、设施蔬菜花卉、特色苗木水果、农产品加工、农产品物流、休闲观光</w:t>
      </w:r>
      <w:r>
        <w:rPr>
          <w:rFonts w:ascii="宋体" w:hAnsi="宋体" w:cs="宋体"/>
          <w:color w:val="000000"/>
          <w:szCs w:val="21"/>
        </w:rPr>
        <w:t>为一体的完整现代农业产业链。</w:t>
      </w:r>
      <w:r>
        <w:rPr>
          <w:rFonts w:hint="eastAsia" w:ascii="宋体" w:hAnsi="宋体" w:cs="宋体"/>
          <w:color w:val="000000"/>
          <w:szCs w:val="21"/>
        </w:rPr>
        <w:t>充分发挥互联网的作用，全面建设农村电子商务平台。</w:t>
      </w:r>
      <w:bookmarkEnd w:id="83"/>
    </w:p>
    <w:p>
      <w:pPr>
        <w:spacing w:line="320" w:lineRule="exact"/>
        <w:ind w:firstLine="413" w:firstLineChars="196"/>
        <w:outlineLvl w:val="3"/>
        <w:rPr>
          <w:rFonts w:hint="eastAsia" w:ascii="宋体" w:hAnsi="宋体" w:cs="宋体"/>
          <w:color w:val="000000"/>
          <w:szCs w:val="21"/>
        </w:rPr>
      </w:pPr>
      <w:bookmarkStart w:id="84" w:name="_Toc443378683"/>
      <w:r>
        <w:rPr>
          <w:rFonts w:hint="eastAsia" w:ascii="宋体" w:hAnsi="宋体" w:cs="宋体"/>
          <w:b/>
          <w:kern w:val="0"/>
          <w:szCs w:val="21"/>
        </w:rPr>
        <w:t>2.培育新型经营主体，打造增收致富新模式</w:t>
      </w:r>
      <w:r>
        <w:rPr>
          <w:rFonts w:hint="eastAsia" w:ascii="宋体" w:hAnsi="宋体" w:cs="仿宋"/>
          <w:b/>
          <w:kern w:val="0"/>
          <w:szCs w:val="21"/>
        </w:rPr>
        <w:t>。</w:t>
      </w:r>
      <w:r>
        <w:rPr>
          <w:rFonts w:hint="eastAsia" w:ascii="宋体" w:hAnsi="宋体" w:cs="宋体"/>
          <w:color w:val="000000"/>
          <w:szCs w:val="21"/>
        </w:rPr>
        <w:t>培育农民专业合作社、家庭农场、种养大户、农机大户等，通过资源整合、政策引导、资金扶持等方式，积极探索“专业服务公司+合作社+家庭农场+专业大户”等模式，提高组织化、机械化水平，增强市场竞争力。五年内要发展专业合作社10-20家、家庭农场和种养大户200家，引入工业资本投资20家。</w:t>
      </w:r>
      <w:bookmarkEnd w:id="84"/>
    </w:p>
    <w:p>
      <w:pPr>
        <w:spacing w:line="320" w:lineRule="exact"/>
        <w:ind w:firstLine="413" w:firstLineChars="196"/>
        <w:outlineLvl w:val="3"/>
        <w:rPr>
          <w:rFonts w:hint="eastAsia" w:ascii="宋体" w:hAnsi="宋体" w:cs="宋体"/>
          <w:color w:val="000000"/>
          <w:szCs w:val="21"/>
        </w:rPr>
      </w:pPr>
      <w:bookmarkStart w:id="85" w:name="_Toc443378684"/>
      <w:r>
        <w:rPr>
          <w:rFonts w:hint="eastAsia" w:ascii="宋体" w:hAnsi="宋体" w:cs="宋体"/>
          <w:b/>
          <w:kern w:val="0"/>
          <w:szCs w:val="21"/>
        </w:rPr>
        <w:t>3.鼓励农民自主创业，增加农民经营性收入</w:t>
      </w:r>
      <w:r>
        <w:rPr>
          <w:rFonts w:hint="eastAsia" w:ascii="宋体" w:hAnsi="宋体" w:cs="仿宋"/>
          <w:b/>
          <w:kern w:val="0"/>
          <w:szCs w:val="21"/>
        </w:rPr>
        <w:t>。</w:t>
      </w:r>
      <w:bookmarkStart w:id="86" w:name="_Toc434411268"/>
      <w:r>
        <w:rPr>
          <w:rFonts w:hint="eastAsia" w:ascii="宋体" w:hAnsi="宋体" w:cs="宋体"/>
          <w:color w:val="000000"/>
          <w:szCs w:val="21"/>
        </w:rPr>
        <w:t>围绕沈北都市现代农业发展，鼓励农民发挥资源优势兴办农家乐、采摘园，组建工程队、运输队等</w:t>
      </w:r>
      <w:r>
        <w:rPr>
          <w:rFonts w:hint="eastAsia" w:ascii="宋体" w:hAnsi="宋体" w:cs="宋体"/>
          <w:szCs w:val="21"/>
        </w:rPr>
        <w:t>，</w:t>
      </w:r>
      <w:r>
        <w:rPr>
          <w:rFonts w:hint="eastAsia" w:ascii="宋体" w:hAnsi="宋体" w:cs="宋体"/>
          <w:color w:val="000000"/>
          <w:szCs w:val="21"/>
        </w:rPr>
        <w:t>发展农事体验、休闲养老、旅游服务等产业，引导农民运用互联网等手段开展生产经营，推动向“接二连三”产业延伸，加快培育农民收入新的增长点，形成50个以上特色的专业化新村。</w:t>
      </w:r>
      <w:bookmarkEnd w:id="85"/>
      <w:bookmarkEnd w:id="86"/>
    </w:p>
    <w:p>
      <w:pPr>
        <w:spacing w:line="320" w:lineRule="exact"/>
        <w:ind w:firstLine="413" w:firstLineChars="196"/>
        <w:outlineLvl w:val="3"/>
        <w:rPr>
          <w:rFonts w:hint="eastAsia" w:ascii="宋体" w:hAnsi="宋体"/>
          <w:szCs w:val="21"/>
        </w:rPr>
      </w:pPr>
      <w:bookmarkStart w:id="87" w:name="_Toc443378685"/>
      <w:r>
        <w:rPr>
          <w:rFonts w:hint="eastAsia" w:ascii="宋体" w:hAnsi="宋体" w:cs="宋体"/>
          <w:b/>
          <w:kern w:val="0"/>
          <w:szCs w:val="21"/>
        </w:rPr>
        <w:t>4.加快农村劳动力转移，提高农民工资性收入</w:t>
      </w:r>
      <w:r>
        <w:rPr>
          <w:rFonts w:hint="eastAsia" w:ascii="宋体" w:hAnsi="宋体" w:cs="仿宋"/>
          <w:b/>
          <w:kern w:val="0"/>
          <w:szCs w:val="21"/>
        </w:rPr>
        <w:t>。</w:t>
      </w:r>
      <w:r>
        <w:rPr>
          <w:rFonts w:hint="eastAsia" w:ascii="宋体" w:hAnsi="宋体"/>
          <w:szCs w:val="21"/>
        </w:rPr>
        <w:t>加强农民技能培训，推进农村剩余劳动力有效转移，五年累计国际劳务输出4000人以上、国内劳务输出5万人以上。</w:t>
      </w:r>
      <w:bookmarkEnd w:id="87"/>
    </w:p>
    <w:p>
      <w:pPr>
        <w:spacing w:line="320" w:lineRule="exact"/>
        <w:ind w:firstLine="413" w:firstLineChars="196"/>
        <w:outlineLvl w:val="3"/>
        <w:rPr>
          <w:rFonts w:hint="eastAsia" w:ascii="宋体" w:hAnsi="宋体" w:cs="宋体"/>
          <w:szCs w:val="21"/>
        </w:rPr>
      </w:pPr>
      <w:bookmarkStart w:id="88" w:name="_Toc443378686"/>
      <w:r>
        <w:rPr>
          <w:rFonts w:hint="eastAsia" w:ascii="宋体" w:hAnsi="宋体" w:cs="宋体"/>
          <w:b/>
          <w:kern w:val="0"/>
          <w:szCs w:val="21"/>
        </w:rPr>
        <w:t>5.促进集体经济转型升级，壮大农村集体经济。</w:t>
      </w:r>
      <w:r>
        <w:rPr>
          <w:rFonts w:hint="eastAsia" w:ascii="宋体" w:hAnsi="宋体" w:cs="宋体"/>
          <w:szCs w:val="21"/>
        </w:rPr>
        <w:t>创新壮大农村集体经济的运行机制和农村集体建设用地入市流通体制，加快推进村集体产权制度改革，发展多种形式的股份合作，</w:t>
      </w:r>
      <w:r>
        <w:rPr>
          <w:rFonts w:hint="eastAsia" w:ascii="宋体" w:hAnsi="宋体"/>
          <w:szCs w:val="21"/>
        </w:rPr>
        <w:t>增强</w:t>
      </w:r>
      <w:r>
        <w:rPr>
          <w:rFonts w:hint="eastAsia" w:ascii="宋体" w:hAnsi="宋体" w:cs="宋体"/>
          <w:szCs w:val="21"/>
        </w:rPr>
        <w:t>农村集体经济</w:t>
      </w:r>
      <w:r>
        <w:rPr>
          <w:rFonts w:hint="eastAsia" w:ascii="宋体" w:hAnsi="宋体"/>
          <w:szCs w:val="21"/>
        </w:rPr>
        <w:t>自我发展能力，</w:t>
      </w:r>
      <w:r>
        <w:rPr>
          <w:rFonts w:hint="eastAsia" w:ascii="宋体" w:hAnsi="宋体" w:cs="宋体"/>
          <w:szCs w:val="21"/>
        </w:rPr>
        <w:t>促进农民增收。</w:t>
      </w:r>
      <w:bookmarkEnd w:id="88"/>
    </w:p>
    <w:p>
      <w:pPr>
        <w:spacing w:line="320" w:lineRule="exact"/>
        <w:ind w:firstLine="413" w:firstLineChars="196"/>
        <w:outlineLvl w:val="3"/>
        <w:rPr>
          <w:rFonts w:hint="eastAsia" w:ascii="宋体" w:hAnsi="宋体" w:cs="仿宋_GB2312"/>
          <w:color w:val="000000"/>
          <w:kern w:val="0"/>
          <w:szCs w:val="21"/>
        </w:rPr>
      </w:pPr>
      <w:bookmarkStart w:id="89" w:name="_Toc443378687"/>
      <w:r>
        <w:rPr>
          <w:rFonts w:hint="eastAsia" w:ascii="宋体" w:hAnsi="宋体" w:cs="宋体"/>
          <w:b/>
          <w:kern w:val="0"/>
          <w:szCs w:val="21"/>
        </w:rPr>
        <w:t>6.加大招商引资力度，拓宽农民就地就业渠道</w:t>
      </w:r>
      <w:r>
        <w:rPr>
          <w:rFonts w:hint="eastAsia" w:ascii="宋体" w:hAnsi="宋体" w:cs="仿宋"/>
          <w:b/>
          <w:kern w:val="0"/>
          <w:szCs w:val="21"/>
        </w:rPr>
        <w:t>。</w:t>
      </w:r>
      <w:r>
        <w:rPr>
          <w:rFonts w:hint="eastAsia" w:ascii="宋体" w:hAnsi="宋体" w:cs="仿宋_GB2312"/>
          <w:color w:val="000000"/>
          <w:kern w:val="0"/>
          <w:szCs w:val="21"/>
        </w:rPr>
        <w:t>以市场为导向，以资源为依托，着力实施大企业带动、大项目引领战略，拓宽招商引资渠道，积极引进一批适合农民就业的项目，为农民创造就业岗位，就近就业率要达到80%以上。</w:t>
      </w:r>
      <w:bookmarkEnd w:id="89"/>
    </w:p>
    <w:p>
      <w:pPr>
        <w:spacing w:line="320" w:lineRule="exact"/>
        <w:ind w:firstLine="413" w:firstLineChars="196"/>
        <w:outlineLvl w:val="3"/>
        <w:rPr>
          <w:rFonts w:hint="eastAsia" w:ascii="宋体" w:hAnsi="宋体" w:cs="仿宋_GB2312"/>
          <w:szCs w:val="21"/>
        </w:rPr>
      </w:pPr>
      <w:bookmarkStart w:id="90" w:name="_Toc443378688"/>
      <w:r>
        <w:rPr>
          <w:rFonts w:hint="eastAsia" w:ascii="宋体" w:hAnsi="宋体" w:cs="宋体"/>
          <w:b/>
          <w:kern w:val="0"/>
          <w:szCs w:val="21"/>
        </w:rPr>
        <w:t>7.着力搭建融资平台，解决农民融资难的问题</w:t>
      </w:r>
      <w:r>
        <w:rPr>
          <w:rFonts w:hint="eastAsia" w:ascii="宋体" w:hAnsi="宋体" w:cs="仿宋"/>
          <w:b/>
          <w:kern w:val="0"/>
          <w:szCs w:val="21"/>
        </w:rPr>
        <w:t>。</w:t>
      </w:r>
      <w:bookmarkStart w:id="91" w:name="_Toc434411273"/>
      <w:r>
        <w:rPr>
          <w:rFonts w:hint="eastAsia" w:ascii="宋体" w:hAnsi="宋体" w:cs="宋体"/>
          <w:kern w:val="0"/>
          <w:szCs w:val="21"/>
        </w:rPr>
        <w:t>探索农商行等金融机构拓宽融资途径</w:t>
      </w:r>
      <w:r>
        <w:rPr>
          <w:rFonts w:hint="eastAsia" w:ascii="宋体" w:hAnsi="宋体"/>
          <w:szCs w:val="21"/>
        </w:rPr>
        <w:t>和“两权”抵押贷款工作，积极帮助农业新型主体和农民解决融资难问题</w:t>
      </w:r>
      <w:r>
        <w:rPr>
          <w:rFonts w:hint="eastAsia" w:ascii="宋体" w:hAnsi="宋体" w:cs="仿宋_GB2312"/>
          <w:szCs w:val="21"/>
        </w:rPr>
        <w:t>。</w:t>
      </w:r>
      <w:bookmarkEnd w:id="90"/>
      <w:bookmarkEnd w:id="91"/>
    </w:p>
    <w:p>
      <w:pPr>
        <w:spacing w:line="320" w:lineRule="exact"/>
        <w:ind w:firstLine="413" w:firstLineChars="196"/>
        <w:outlineLvl w:val="3"/>
        <w:rPr>
          <w:rFonts w:hint="eastAsia" w:ascii="宋体" w:hAnsi="宋体" w:cs="仿宋"/>
          <w:b/>
          <w:bCs/>
          <w:szCs w:val="21"/>
        </w:rPr>
      </w:pP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05" w:hRule="atLeast"/>
          <w:jc w:val="center"/>
        </w:trPr>
        <w:tc>
          <w:tcPr>
            <w:tcW w:w="8280" w:type="dxa"/>
            <w:noWrap w:val="0"/>
            <w:vAlign w:val="top"/>
          </w:tcPr>
          <w:p>
            <w:pPr>
              <w:spacing w:line="320" w:lineRule="exact"/>
              <w:jc w:val="center"/>
              <w:outlineLvl w:val="2"/>
              <w:rPr>
                <w:rFonts w:hint="eastAsia" w:ascii="宋体" w:hAnsi="宋体" w:cs="方正小标宋简体"/>
                <w:b/>
                <w:sz w:val="21"/>
                <w:szCs w:val="21"/>
              </w:rPr>
            </w:pPr>
            <w:r>
              <w:rPr>
                <w:rFonts w:hint="eastAsia" w:ascii="宋体" w:hAnsi="宋体" w:cs="仿宋"/>
                <w:sz w:val="21"/>
                <w:szCs w:val="21"/>
              </w:rPr>
              <w:t xml:space="preserve">    </w:t>
            </w:r>
            <w:bookmarkStart w:id="92" w:name="_Toc435623734"/>
            <w:bookmarkStart w:id="93" w:name="_Toc436295564"/>
            <w:bookmarkStart w:id="94" w:name="_Toc443378689"/>
            <w:r>
              <w:rPr>
                <w:rFonts w:hint="eastAsia" w:ascii="宋体" w:hAnsi="宋体"/>
                <w:b/>
                <w:bCs/>
                <w:sz w:val="21"/>
                <w:szCs w:val="21"/>
              </w:rPr>
              <w:t>专栏5：</w:t>
            </w:r>
            <w:r>
              <w:rPr>
                <w:rFonts w:hint="eastAsia" w:ascii="宋体" w:hAnsi="宋体" w:cs="方正小标宋简体"/>
                <w:b/>
                <w:sz w:val="21"/>
                <w:szCs w:val="21"/>
              </w:rPr>
              <w:t>促进农业发展农民增收农村建设措施</w:t>
            </w:r>
            <w:bookmarkEnd w:id="92"/>
            <w:bookmarkEnd w:id="93"/>
            <w:bookmarkEnd w:id="94"/>
          </w:p>
          <w:p>
            <w:pPr>
              <w:spacing w:line="320" w:lineRule="exact"/>
              <w:ind w:firstLine="539" w:firstLineChars="257"/>
              <w:rPr>
                <w:rFonts w:hint="eastAsia" w:ascii="宋体" w:hAnsi="宋体" w:cs="黑体"/>
                <w:sz w:val="21"/>
                <w:szCs w:val="21"/>
              </w:rPr>
            </w:pPr>
            <w:r>
              <w:rPr>
                <w:rFonts w:hint="eastAsia" w:ascii="宋体" w:hAnsi="宋体" w:cs="黑体"/>
                <w:sz w:val="21"/>
                <w:szCs w:val="21"/>
              </w:rPr>
              <w:t>1.设立“三农”专项资金。</w:t>
            </w:r>
          </w:p>
          <w:p>
            <w:pPr>
              <w:spacing w:line="320" w:lineRule="exact"/>
              <w:ind w:firstLine="539" w:firstLineChars="257"/>
              <w:rPr>
                <w:rFonts w:hint="eastAsia" w:ascii="宋体" w:hAnsi="宋体" w:cs="黑体"/>
                <w:sz w:val="21"/>
                <w:szCs w:val="21"/>
              </w:rPr>
            </w:pPr>
            <w:r>
              <w:rPr>
                <w:rFonts w:hint="eastAsia" w:ascii="宋体" w:hAnsi="宋体" w:cs="黑体"/>
                <w:sz w:val="21"/>
                <w:szCs w:val="21"/>
              </w:rPr>
              <w:t>2.加快土地流转。</w:t>
            </w:r>
          </w:p>
          <w:p>
            <w:pPr>
              <w:spacing w:line="320" w:lineRule="exact"/>
              <w:ind w:firstLine="539" w:firstLineChars="257"/>
              <w:rPr>
                <w:rFonts w:hint="eastAsia" w:ascii="宋体" w:hAnsi="宋体" w:cs="黑体"/>
                <w:sz w:val="21"/>
                <w:szCs w:val="21"/>
              </w:rPr>
            </w:pPr>
            <w:r>
              <w:rPr>
                <w:rFonts w:hint="eastAsia" w:ascii="宋体" w:hAnsi="宋体" w:cs="黑体"/>
                <w:sz w:val="21"/>
                <w:szCs w:val="21"/>
              </w:rPr>
              <w:t>3.发展乡村旅游。</w:t>
            </w:r>
          </w:p>
          <w:p>
            <w:pPr>
              <w:spacing w:line="320" w:lineRule="exact"/>
              <w:ind w:firstLine="539" w:firstLineChars="257"/>
              <w:rPr>
                <w:rFonts w:hint="eastAsia" w:ascii="宋体" w:hAnsi="宋体" w:cs="黑体"/>
                <w:sz w:val="21"/>
                <w:szCs w:val="21"/>
              </w:rPr>
            </w:pPr>
            <w:r>
              <w:rPr>
                <w:rFonts w:hint="eastAsia" w:ascii="宋体" w:hAnsi="宋体" w:cs="黑体"/>
                <w:sz w:val="21"/>
                <w:szCs w:val="21"/>
              </w:rPr>
              <w:t>4.加强农村金融服务。</w:t>
            </w:r>
          </w:p>
          <w:p>
            <w:pPr>
              <w:spacing w:line="320" w:lineRule="exact"/>
              <w:ind w:firstLine="539" w:firstLineChars="257"/>
              <w:rPr>
                <w:rFonts w:hint="eastAsia" w:ascii="宋体" w:hAnsi="宋体" w:cs="黑体"/>
                <w:sz w:val="21"/>
                <w:szCs w:val="21"/>
              </w:rPr>
            </w:pPr>
            <w:r>
              <w:rPr>
                <w:rFonts w:hint="eastAsia" w:ascii="宋体" w:hAnsi="宋体" w:cs="黑体"/>
                <w:sz w:val="21"/>
                <w:szCs w:val="21"/>
              </w:rPr>
              <w:t>5.支持失地农民参加保障保险。</w:t>
            </w:r>
          </w:p>
          <w:p>
            <w:pPr>
              <w:spacing w:line="320" w:lineRule="exact"/>
              <w:ind w:firstLine="539" w:firstLineChars="257"/>
              <w:rPr>
                <w:rFonts w:hint="eastAsia" w:ascii="宋体" w:hAnsi="宋体" w:cs="黑体"/>
                <w:sz w:val="21"/>
                <w:szCs w:val="21"/>
              </w:rPr>
            </w:pPr>
            <w:r>
              <w:rPr>
                <w:rFonts w:hint="eastAsia" w:ascii="宋体" w:hAnsi="宋体" w:cs="黑体"/>
                <w:sz w:val="21"/>
                <w:szCs w:val="21"/>
              </w:rPr>
              <w:t>6.改善农村人居发展环境。</w:t>
            </w:r>
          </w:p>
          <w:p>
            <w:pPr>
              <w:spacing w:line="320" w:lineRule="exact"/>
              <w:ind w:firstLine="539" w:firstLineChars="257"/>
              <w:rPr>
                <w:rFonts w:hint="eastAsia" w:ascii="宋体" w:hAnsi="宋体" w:cs="黑体"/>
                <w:sz w:val="21"/>
                <w:szCs w:val="21"/>
              </w:rPr>
            </w:pPr>
            <w:r>
              <w:rPr>
                <w:rFonts w:hint="eastAsia" w:ascii="宋体" w:hAnsi="宋体" w:cs="黑体"/>
                <w:sz w:val="21"/>
                <w:szCs w:val="21"/>
              </w:rPr>
              <w:t>7.调整政府租用农民土地租金价格。</w:t>
            </w:r>
          </w:p>
          <w:p>
            <w:pPr>
              <w:spacing w:line="320" w:lineRule="exact"/>
              <w:ind w:firstLine="539" w:firstLineChars="257"/>
              <w:outlineLvl w:val="2"/>
              <w:rPr>
                <w:rFonts w:hint="eastAsia" w:ascii="宋体" w:hAnsi="宋体" w:cs="仿宋"/>
                <w:b/>
                <w:bCs/>
                <w:sz w:val="21"/>
                <w:szCs w:val="21"/>
              </w:rPr>
            </w:pPr>
            <w:bookmarkStart w:id="95" w:name="_Toc443378690"/>
            <w:r>
              <w:rPr>
                <w:rFonts w:hint="eastAsia" w:ascii="宋体" w:hAnsi="宋体" w:cs="黑体"/>
                <w:sz w:val="21"/>
                <w:szCs w:val="21"/>
              </w:rPr>
              <w:t>8.完善政府采购本地农产品和雇用农民服务政策。</w:t>
            </w:r>
            <w:bookmarkEnd w:id="95"/>
          </w:p>
        </w:tc>
      </w:tr>
    </w:tbl>
    <w:p>
      <w:pPr>
        <w:spacing w:line="320" w:lineRule="exact"/>
        <w:ind w:firstLine="472" w:firstLineChars="224"/>
        <w:outlineLvl w:val="2"/>
        <w:rPr>
          <w:rFonts w:hint="eastAsia" w:ascii="宋体" w:hAnsi="宋体" w:cs="仿宋"/>
          <w:b/>
          <w:bCs/>
          <w:szCs w:val="21"/>
        </w:rPr>
      </w:pPr>
      <w:bookmarkStart w:id="96" w:name="_Toc443378691"/>
      <w:r>
        <w:rPr>
          <w:rFonts w:hint="eastAsia" w:ascii="宋体" w:hAnsi="宋体" w:cs="仿宋"/>
          <w:b/>
          <w:bCs/>
          <w:szCs w:val="21"/>
        </w:rPr>
        <w:t>七、全面开展扶贫帮困</w:t>
      </w:r>
      <w:bookmarkEnd w:id="96"/>
    </w:p>
    <w:p>
      <w:pPr>
        <w:spacing w:line="320" w:lineRule="exact"/>
        <w:ind w:firstLine="411" w:firstLineChars="196"/>
        <w:outlineLvl w:val="3"/>
        <w:rPr>
          <w:rFonts w:hint="eastAsia" w:ascii="宋体" w:hAnsi="宋体" w:cs="宋体"/>
          <w:kern w:val="0"/>
          <w:szCs w:val="21"/>
        </w:rPr>
      </w:pPr>
      <w:bookmarkStart w:id="97" w:name="_Toc435021358"/>
      <w:bookmarkStart w:id="98" w:name="_Toc435623737"/>
      <w:bookmarkStart w:id="99" w:name="_Toc443378692"/>
      <w:bookmarkStart w:id="100" w:name="_Toc436295567"/>
      <w:r>
        <w:rPr>
          <w:rFonts w:hint="eastAsia" w:ascii="宋体" w:hAnsi="宋体" w:cs="宋体"/>
          <w:kern w:val="0"/>
          <w:szCs w:val="21"/>
        </w:rPr>
        <w:t>完善扶贫帮困政策，实行一户一策精准扶贫，确保到2017年贫困人口全面脱贫。</w:t>
      </w:r>
      <w:bookmarkEnd w:id="97"/>
      <w:bookmarkEnd w:id="98"/>
      <w:r>
        <w:rPr>
          <w:rFonts w:hint="eastAsia" w:ascii="宋体" w:hAnsi="宋体" w:cs="宋体"/>
          <w:kern w:val="0"/>
          <w:szCs w:val="21"/>
        </w:rPr>
        <w:t>重视低保户、五保户以外因病等原因生活困难群体帮扶，逐步扩大扶贫帮困覆盖面。</w:t>
      </w:r>
      <w:bookmarkEnd w:id="99"/>
      <w:bookmarkEnd w:id="100"/>
    </w:p>
    <w:p>
      <w:pPr>
        <w:spacing w:line="320" w:lineRule="exact"/>
        <w:ind w:firstLine="472" w:firstLineChars="224"/>
        <w:outlineLvl w:val="3"/>
        <w:rPr>
          <w:rFonts w:hint="eastAsia" w:ascii="宋体" w:hAnsi="宋体" w:cs="宋体"/>
          <w:color w:val="212121"/>
          <w:spacing w:val="4"/>
          <w:kern w:val="0"/>
          <w:szCs w:val="21"/>
        </w:rPr>
      </w:pPr>
      <w:bookmarkStart w:id="101" w:name="_Toc443378693"/>
      <w:r>
        <w:rPr>
          <w:rFonts w:hint="eastAsia" w:ascii="宋体" w:hAnsi="宋体" w:cs="仿宋"/>
          <w:b/>
          <w:szCs w:val="21"/>
        </w:rPr>
        <w:t>1.帮助贫困家庭发展多种经营，增加经营性收入。</w:t>
      </w:r>
      <w:r>
        <w:rPr>
          <w:rFonts w:hint="eastAsia" w:ascii="宋体" w:hAnsi="宋体"/>
          <w:szCs w:val="21"/>
        </w:rPr>
        <w:t>积极</w:t>
      </w:r>
      <w:r>
        <w:rPr>
          <w:rFonts w:hint="eastAsia" w:ascii="宋体" w:hAnsi="宋体" w:cs="宋体"/>
          <w:color w:val="212121"/>
          <w:spacing w:val="4"/>
          <w:kern w:val="0"/>
          <w:szCs w:val="21"/>
        </w:rPr>
        <w:t>为贫困户免费提供农业生产方面的资金、技术、信息、销售等支持，通过订单、合作等模式带动贫困家庭发展特色产业，稳定增加经营性收入。</w:t>
      </w:r>
      <w:bookmarkEnd w:id="101"/>
    </w:p>
    <w:p>
      <w:pPr>
        <w:widowControl/>
        <w:spacing w:line="320" w:lineRule="exact"/>
        <w:ind w:firstLine="472" w:firstLineChars="224"/>
        <w:outlineLvl w:val="3"/>
        <w:rPr>
          <w:rFonts w:hint="eastAsia" w:ascii="宋体" w:hAnsi="宋体" w:cs="宋体"/>
          <w:color w:val="212121"/>
          <w:spacing w:val="4"/>
          <w:kern w:val="0"/>
          <w:szCs w:val="21"/>
        </w:rPr>
      </w:pPr>
      <w:bookmarkStart w:id="102" w:name="_Toc443378694"/>
      <w:r>
        <w:rPr>
          <w:rFonts w:hint="eastAsia" w:ascii="宋体" w:hAnsi="宋体" w:cs="仿宋"/>
          <w:b/>
          <w:szCs w:val="21"/>
        </w:rPr>
        <w:t>2.加大救助力度，保障困难群体基本生活。</w:t>
      </w:r>
      <w:r>
        <w:rPr>
          <w:rFonts w:hint="eastAsia" w:ascii="宋体" w:hAnsi="宋体"/>
          <w:szCs w:val="21"/>
        </w:rPr>
        <w:t>提高城乡低保户、五保户补贴标准，加大临时救助力度，确保困难群体基本生活得到有效保障。</w:t>
      </w:r>
      <w:bookmarkEnd w:id="102"/>
    </w:p>
    <w:p>
      <w:pPr>
        <w:spacing w:line="320" w:lineRule="exact"/>
        <w:ind w:firstLine="472" w:firstLineChars="224"/>
        <w:outlineLvl w:val="3"/>
        <w:rPr>
          <w:rFonts w:hint="eastAsia" w:ascii="宋体" w:hAnsi="宋体"/>
          <w:color w:val="993300"/>
          <w:szCs w:val="21"/>
        </w:rPr>
      </w:pPr>
      <w:bookmarkStart w:id="103" w:name="_Toc443378695"/>
      <w:r>
        <w:rPr>
          <w:rFonts w:hint="eastAsia" w:ascii="宋体" w:hAnsi="宋体" w:cs="仿宋"/>
          <w:b/>
          <w:szCs w:val="21"/>
        </w:rPr>
        <w:t>3.积极开发就业岗位，加强就业技能培训。</w:t>
      </w:r>
      <w:r>
        <w:rPr>
          <w:rFonts w:hint="eastAsia" w:ascii="宋体" w:hAnsi="宋体"/>
          <w:szCs w:val="21"/>
        </w:rPr>
        <w:t>对困难群体中凡有劳动能力、有就业和培训意愿的贫困人员，开展就业创业技能培训并给予培训补贴，积极开发就业岗位，确保贫困群体100%就业。</w:t>
      </w:r>
      <w:bookmarkEnd w:id="103"/>
    </w:p>
    <w:p>
      <w:pPr>
        <w:spacing w:line="320" w:lineRule="exact"/>
        <w:ind w:firstLine="472" w:firstLineChars="224"/>
        <w:outlineLvl w:val="3"/>
        <w:rPr>
          <w:rFonts w:hint="eastAsia"/>
          <w:sz w:val="21"/>
          <w:szCs w:val="21"/>
        </w:rPr>
      </w:pPr>
      <w:bookmarkStart w:id="104" w:name="_Toc443378696"/>
      <w:r>
        <w:rPr>
          <w:rFonts w:hint="eastAsia" w:cs="仿宋"/>
          <w:b/>
          <w:kern w:val="2"/>
          <w:sz w:val="21"/>
          <w:szCs w:val="21"/>
        </w:rPr>
        <w:t>4.加大困难群体医疗救助服务力度。</w:t>
      </w:r>
      <w:r>
        <w:rPr>
          <w:rFonts w:hint="eastAsia"/>
          <w:kern w:val="2"/>
          <w:sz w:val="21"/>
          <w:szCs w:val="21"/>
        </w:rPr>
        <w:t>提高困难群体医药费报销比例，扩大医药费报销范围，强化困难群体的医疗服务，确保困难群体吃得起药、住得起院、看得起病。</w:t>
      </w:r>
      <w:bookmarkEnd w:id="104"/>
    </w:p>
    <w:p>
      <w:pPr>
        <w:spacing w:line="320" w:lineRule="exact"/>
        <w:ind w:firstLine="472" w:firstLineChars="224"/>
        <w:outlineLvl w:val="3"/>
        <w:rPr>
          <w:rFonts w:hint="eastAsia" w:ascii="宋体" w:hAnsi="宋体"/>
          <w:szCs w:val="21"/>
        </w:rPr>
      </w:pPr>
      <w:bookmarkStart w:id="105" w:name="_Toc443378697"/>
      <w:r>
        <w:rPr>
          <w:rFonts w:hint="eastAsia" w:ascii="宋体" w:hAnsi="宋体" w:cs="仿宋"/>
          <w:b/>
          <w:szCs w:val="21"/>
        </w:rPr>
        <w:t>5.加大贫困学生资助力度。</w:t>
      </w:r>
      <w:r>
        <w:rPr>
          <w:rFonts w:hint="eastAsia" w:ascii="宋体" w:hAnsi="宋体"/>
          <w:szCs w:val="21"/>
        </w:rPr>
        <w:t>对贫困学生加大资金补贴和智力扶贫力度，确保贫困家庭的学生上得起学、坐得起车（校车）、住得起宿，实现学有所教。</w:t>
      </w:r>
      <w:bookmarkEnd w:id="105"/>
    </w:p>
    <w:p>
      <w:pPr>
        <w:pStyle w:val="2"/>
        <w:spacing w:line="320" w:lineRule="exact"/>
        <w:ind w:left="0" w:leftChars="0" w:firstLine="472" w:firstLineChars="224"/>
        <w:outlineLvl w:val="3"/>
        <w:rPr>
          <w:rFonts w:hint="eastAsia" w:ascii="宋体" w:hAnsi="宋体" w:eastAsia="宋体"/>
          <w:sz w:val="21"/>
          <w:szCs w:val="21"/>
        </w:rPr>
      </w:pPr>
      <w:bookmarkStart w:id="106" w:name="_Toc443378698"/>
      <w:r>
        <w:rPr>
          <w:rFonts w:hint="eastAsia" w:ascii="宋体" w:hAnsi="宋体" w:eastAsia="宋体" w:cs="仿宋"/>
          <w:b/>
          <w:sz w:val="21"/>
          <w:szCs w:val="21"/>
        </w:rPr>
        <w:t>6.加大困难群体住房保障制度。</w:t>
      </w:r>
      <w:r>
        <w:rPr>
          <w:rFonts w:hint="eastAsia" w:ascii="宋体" w:hAnsi="宋体" w:eastAsia="宋体"/>
          <w:sz w:val="21"/>
          <w:szCs w:val="21"/>
        </w:rPr>
        <w:t>创新住房保障机制，加大资金投入，增加保障性住房供应，加大棚户区和危旧房屋改造力度，确保困难家庭不住危房、险房，住得起房。</w:t>
      </w:r>
      <w:bookmarkEnd w:id="106"/>
    </w:p>
    <w:p>
      <w:pPr>
        <w:pStyle w:val="2"/>
        <w:spacing w:line="320" w:lineRule="exact"/>
        <w:ind w:left="0" w:leftChars="0" w:firstLine="422"/>
        <w:outlineLvl w:val="3"/>
        <w:rPr>
          <w:rFonts w:hint="eastAsia" w:ascii="宋体" w:hAnsi="宋体" w:eastAsia="宋体"/>
          <w:sz w:val="21"/>
          <w:szCs w:val="21"/>
        </w:rPr>
      </w:pPr>
      <w:bookmarkStart w:id="107" w:name="_Toc443378699"/>
      <w:r>
        <w:rPr>
          <w:rFonts w:hint="eastAsia" w:ascii="宋体" w:hAnsi="宋体" w:eastAsia="宋体" w:cs="仿宋"/>
          <w:b/>
          <w:sz w:val="21"/>
          <w:szCs w:val="21"/>
        </w:rPr>
        <w:t>7.积极开展机关干部帮扶救助工作。</w:t>
      </w:r>
      <w:r>
        <w:rPr>
          <w:rFonts w:hint="eastAsia" w:ascii="宋体" w:hAnsi="宋体" w:eastAsia="宋体"/>
          <w:sz w:val="21"/>
          <w:szCs w:val="21"/>
        </w:rPr>
        <w:t>全面开展领导干部和机关干部包保帮扶贫困户活动，帮助贫困群体解决实际困难，为困难家庭送去党和政府的关怀，</w:t>
      </w:r>
      <w:r>
        <w:rPr>
          <w:rFonts w:hint="eastAsia" w:ascii="宋体" w:hAnsi="宋体" w:eastAsia="宋体" w:cs="黑体"/>
          <w:color w:val="000000"/>
          <w:kern w:val="0"/>
          <w:sz w:val="21"/>
          <w:szCs w:val="21"/>
          <w:lang w:val="zh-CN"/>
        </w:rPr>
        <w:t>让困难群众感受到温暖和关爱。</w:t>
      </w:r>
      <w:bookmarkEnd w:id="107"/>
    </w:p>
    <w:p>
      <w:pPr>
        <w:pStyle w:val="2"/>
        <w:spacing w:line="320" w:lineRule="exact"/>
        <w:ind w:left="0" w:leftChars="0" w:firstLine="472" w:firstLineChars="224"/>
        <w:outlineLvl w:val="3"/>
        <w:rPr>
          <w:rFonts w:hint="eastAsia" w:ascii="宋体" w:hAnsi="宋体" w:eastAsia="宋体"/>
          <w:sz w:val="21"/>
          <w:szCs w:val="21"/>
        </w:rPr>
      </w:pPr>
      <w:bookmarkStart w:id="108" w:name="_Toc443378700"/>
      <w:r>
        <w:rPr>
          <w:rFonts w:hint="eastAsia" w:ascii="宋体" w:hAnsi="宋体" w:eastAsia="宋体" w:cs="仿宋"/>
          <w:b/>
          <w:sz w:val="21"/>
          <w:szCs w:val="21"/>
        </w:rPr>
        <w:t>8.做好城乡残疾人生活保障工作。</w:t>
      </w:r>
      <w:r>
        <w:rPr>
          <w:rFonts w:hint="eastAsia" w:ascii="宋体" w:hAnsi="宋体" w:eastAsia="宋体"/>
          <w:sz w:val="21"/>
          <w:szCs w:val="21"/>
        </w:rPr>
        <w:t>健全残疾人康复服务网络，增加对残疾人的补贴，积极开发工作岗位促进残疾人就业，提高残疾人收入水平。</w:t>
      </w:r>
      <w:bookmarkEnd w:id="108"/>
    </w:p>
    <w:p>
      <w:pPr>
        <w:pStyle w:val="2"/>
        <w:spacing w:line="320" w:lineRule="exact"/>
        <w:ind w:left="0" w:leftChars="0" w:firstLine="422"/>
        <w:outlineLvl w:val="3"/>
        <w:rPr>
          <w:rFonts w:hint="eastAsia" w:ascii="宋体" w:hAnsi="宋体" w:eastAsia="宋体"/>
          <w:sz w:val="21"/>
          <w:szCs w:val="21"/>
        </w:rPr>
      </w:pPr>
      <w:r>
        <w:rPr>
          <w:rFonts w:hint="eastAsia" w:ascii="宋体" w:hAnsi="宋体" w:eastAsia="宋体"/>
          <w:b/>
          <w:sz w:val="21"/>
          <w:szCs w:val="21"/>
        </w:rPr>
        <w:t>9.发挥社会团体职能作用</w:t>
      </w:r>
      <w:r>
        <w:rPr>
          <w:rFonts w:hint="eastAsia" w:ascii="宋体" w:hAnsi="宋体" w:eastAsia="宋体"/>
          <w:sz w:val="21"/>
          <w:szCs w:val="21"/>
        </w:rPr>
        <w:t>，积极参与扶贫帮困工作。鼓励社会团体、企业和爱心人士参与扶贫帮困，形成全社会关心贫困群体的良好局面。</w:t>
      </w:r>
    </w:p>
    <w:p>
      <w:pPr>
        <w:pStyle w:val="2"/>
        <w:spacing w:line="320" w:lineRule="exact"/>
        <w:ind w:left="0" w:leftChars="0" w:firstLine="470" w:firstLineChars="224"/>
        <w:outlineLvl w:val="3"/>
        <w:rPr>
          <w:rFonts w:hint="eastAsia" w:ascii="宋体" w:hAnsi="宋体" w:eastAsia="宋体"/>
          <w:sz w:val="21"/>
          <w:szCs w:val="21"/>
        </w:rPr>
      </w:pPr>
    </w:p>
    <w:p>
      <w:pPr>
        <w:pStyle w:val="2"/>
        <w:spacing w:line="320" w:lineRule="exact"/>
        <w:ind w:left="0" w:leftChars="0" w:firstLine="470" w:firstLineChars="224"/>
        <w:outlineLvl w:val="3"/>
        <w:rPr>
          <w:rFonts w:hint="eastAsia" w:ascii="宋体" w:hAnsi="宋体" w:eastAsia="宋体"/>
          <w:sz w:val="21"/>
          <w:szCs w:val="21"/>
        </w:rPr>
      </w:pPr>
    </w:p>
    <w:p>
      <w:pPr>
        <w:pStyle w:val="2"/>
        <w:spacing w:line="320" w:lineRule="exact"/>
        <w:ind w:left="0" w:leftChars="0" w:firstLine="470" w:firstLineChars="224"/>
        <w:outlineLvl w:val="3"/>
        <w:rPr>
          <w:rFonts w:hint="eastAsia" w:ascii="宋体" w:hAnsi="宋体" w:eastAsia="宋体"/>
          <w:sz w:val="21"/>
          <w:szCs w:val="21"/>
        </w:rPr>
      </w:pPr>
    </w:p>
    <w:p>
      <w:pPr>
        <w:pStyle w:val="2"/>
        <w:spacing w:line="320" w:lineRule="exact"/>
        <w:ind w:left="0" w:leftChars="0" w:firstLine="470" w:firstLineChars="224"/>
        <w:outlineLvl w:val="3"/>
        <w:rPr>
          <w:rFonts w:hint="eastAsia" w:ascii="宋体" w:hAnsi="宋体" w:eastAsia="宋体"/>
          <w:sz w:val="21"/>
          <w:szCs w:val="21"/>
        </w:rPr>
      </w:pPr>
    </w:p>
    <w:p>
      <w:pPr>
        <w:pStyle w:val="2"/>
        <w:spacing w:line="320" w:lineRule="exact"/>
        <w:ind w:left="0" w:leftChars="0" w:firstLine="470" w:firstLineChars="224"/>
        <w:outlineLvl w:val="3"/>
        <w:rPr>
          <w:rFonts w:hint="eastAsia" w:ascii="宋体" w:hAnsi="宋体" w:eastAsia="宋体"/>
          <w:sz w:val="21"/>
          <w:szCs w:val="21"/>
        </w:rPr>
      </w:pPr>
    </w:p>
    <w:p>
      <w:pPr>
        <w:pStyle w:val="2"/>
        <w:spacing w:line="320" w:lineRule="exact"/>
        <w:ind w:left="0" w:leftChars="0" w:firstLine="470" w:firstLineChars="224"/>
        <w:outlineLvl w:val="3"/>
        <w:rPr>
          <w:rFonts w:hint="eastAsia" w:ascii="宋体" w:hAnsi="宋体" w:eastAsia="宋体"/>
          <w:sz w:val="21"/>
          <w:szCs w:val="21"/>
        </w:rPr>
      </w:pPr>
    </w:p>
    <w:p>
      <w:pPr>
        <w:pStyle w:val="2"/>
        <w:spacing w:line="320" w:lineRule="exact"/>
        <w:ind w:left="0" w:leftChars="0" w:firstLine="470" w:firstLineChars="224"/>
        <w:outlineLvl w:val="3"/>
        <w:rPr>
          <w:rFonts w:hint="eastAsia" w:ascii="宋体" w:hAnsi="宋体" w:eastAsia="宋体"/>
          <w:sz w:val="21"/>
          <w:szCs w:val="21"/>
        </w:rPr>
      </w:pPr>
    </w:p>
    <w:p>
      <w:pPr>
        <w:pStyle w:val="2"/>
        <w:spacing w:line="320" w:lineRule="exact"/>
        <w:ind w:left="0" w:leftChars="0" w:firstLine="470" w:firstLineChars="224"/>
        <w:outlineLvl w:val="3"/>
        <w:rPr>
          <w:rFonts w:hint="eastAsia" w:ascii="宋体" w:hAnsi="宋体" w:eastAsia="宋体"/>
          <w:sz w:val="21"/>
          <w:szCs w:val="21"/>
        </w:rPr>
      </w:pPr>
    </w:p>
    <w:p>
      <w:pPr>
        <w:pStyle w:val="2"/>
        <w:spacing w:line="320" w:lineRule="exact"/>
        <w:ind w:left="0" w:leftChars="0" w:firstLine="470" w:firstLineChars="224"/>
        <w:outlineLvl w:val="3"/>
        <w:rPr>
          <w:rFonts w:hint="eastAsia" w:ascii="宋体" w:hAnsi="宋体" w:eastAsia="宋体"/>
          <w:sz w:val="21"/>
          <w:szCs w:val="21"/>
        </w:rPr>
      </w:pPr>
    </w:p>
    <w:p>
      <w:pPr>
        <w:pStyle w:val="2"/>
        <w:spacing w:line="320" w:lineRule="exact"/>
        <w:ind w:left="0" w:leftChars="0" w:firstLine="716" w:firstLineChars="224"/>
        <w:outlineLvl w:val="3"/>
        <w:rPr>
          <w:rFonts w:hint="eastAsia"/>
        </w:rPr>
      </w:pPr>
      <w:bookmarkStart w:id="109" w:name="_Toc443378701"/>
      <w:r>
        <mc:AlternateContent>
          <mc:Choice Requires="wps">
            <w:drawing>
              <wp:anchor distT="0" distB="0" distL="114300" distR="114300" simplePos="0" relativeHeight="251665408" behindDoc="0" locked="0" layoutInCell="1" allowOverlap="0">
                <wp:simplePos x="0" y="0"/>
                <wp:positionH relativeFrom="column">
                  <wp:posOffset>342900</wp:posOffset>
                </wp:positionH>
                <wp:positionV relativeFrom="paragraph">
                  <wp:posOffset>99060</wp:posOffset>
                </wp:positionV>
                <wp:extent cx="5257800" cy="3268980"/>
                <wp:effectExtent l="7620" t="7620" r="11430" b="19050"/>
                <wp:wrapTopAndBottom/>
                <wp:docPr id="7" name="矩形 8"/>
                <wp:cNvGraphicFramePr/>
                <a:graphic xmlns:a="http://schemas.openxmlformats.org/drawingml/2006/main">
                  <a:graphicData uri="http://schemas.microsoft.com/office/word/2010/wordprocessingShape">
                    <wps:wsp>
                      <wps:cNvSpPr/>
                      <wps:spPr>
                        <a:xfrm>
                          <a:off x="0" y="0"/>
                          <a:ext cx="5257800" cy="3268980"/>
                        </a:xfrm>
                        <a:prstGeom prst="rect">
                          <a:avLst/>
                        </a:prstGeom>
                        <a:noFill/>
                        <a:ln w="1587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方正小标宋简体"/>
                                <w:b/>
                                <w:szCs w:val="21"/>
                              </w:rPr>
                            </w:pPr>
                            <w:r>
                              <w:rPr>
                                <w:rFonts w:hint="eastAsia" w:ascii="宋体" w:hAnsi="宋体"/>
                                <w:b/>
                                <w:bCs/>
                                <w:szCs w:val="21"/>
                              </w:rPr>
                              <w:t>专栏6：</w:t>
                            </w:r>
                            <w:r>
                              <w:rPr>
                                <w:rFonts w:hint="eastAsia" w:ascii="宋体" w:hAnsi="宋体" w:cs="方正小标宋简体"/>
                                <w:b/>
                                <w:szCs w:val="21"/>
                              </w:rPr>
                              <w:t>扶贫帮困措施</w:t>
                            </w:r>
                          </w:p>
                          <w:p>
                            <w:pPr>
                              <w:spacing w:line="400" w:lineRule="exact"/>
                              <w:ind w:firstLine="539" w:firstLineChars="257"/>
                              <w:rPr>
                                <w:rFonts w:hint="eastAsia" w:ascii="宋体" w:hAnsi="宋体" w:cs="黑体"/>
                                <w:szCs w:val="21"/>
                              </w:rPr>
                            </w:pPr>
                            <w:r>
                              <w:rPr>
                                <w:rFonts w:hint="eastAsia" w:ascii="宋体" w:hAnsi="宋体" w:cs="黑体"/>
                                <w:szCs w:val="21"/>
                              </w:rPr>
                              <w:t>1.提高低保保障五保供养标准。</w:t>
                            </w:r>
                          </w:p>
                          <w:p>
                            <w:pPr>
                              <w:spacing w:line="400" w:lineRule="exact"/>
                              <w:ind w:firstLine="539" w:firstLineChars="257"/>
                              <w:rPr>
                                <w:rFonts w:hint="eastAsia" w:ascii="宋体" w:hAnsi="宋体" w:cs="黑体"/>
                                <w:szCs w:val="21"/>
                              </w:rPr>
                            </w:pPr>
                            <w:r>
                              <w:rPr>
                                <w:rFonts w:hint="eastAsia" w:ascii="宋体" w:hAnsi="宋体" w:cs="黑体"/>
                                <w:szCs w:val="21"/>
                              </w:rPr>
                              <w:t>2.实行生活不能自理低保人员集中照料。</w:t>
                            </w:r>
                          </w:p>
                          <w:p>
                            <w:pPr>
                              <w:spacing w:line="400" w:lineRule="exact"/>
                              <w:ind w:firstLine="539" w:firstLineChars="257"/>
                              <w:rPr>
                                <w:rFonts w:hint="eastAsia" w:ascii="宋体" w:hAnsi="宋体" w:cs="黑体"/>
                                <w:szCs w:val="21"/>
                              </w:rPr>
                            </w:pPr>
                            <w:r>
                              <w:rPr>
                                <w:rFonts w:hint="eastAsia" w:ascii="宋体" w:hAnsi="宋体" w:cs="黑体"/>
                                <w:szCs w:val="21"/>
                              </w:rPr>
                              <w:t>3.完善贫困人员医疗救助措施。</w:t>
                            </w:r>
                          </w:p>
                          <w:p>
                            <w:pPr>
                              <w:spacing w:line="400" w:lineRule="exact"/>
                              <w:ind w:firstLine="539" w:firstLineChars="257"/>
                              <w:rPr>
                                <w:rFonts w:hint="eastAsia" w:ascii="宋体" w:hAnsi="宋体" w:cs="黑体"/>
                                <w:szCs w:val="21"/>
                              </w:rPr>
                            </w:pPr>
                            <w:r>
                              <w:rPr>
                                <w:rFonts w:hint="eastAsia" w:ascii="宋体" w:hAnsi="宋体" w:cs="黑体"/>
                                <w:szCs w:val="21"/>
                              </w:rPr>
                              <w:t>4.加大贫困学生教育救助力度。</w:t>
                            </w:r>
                          </w:p>
                          <w:p>
                            <w:pPr>
                              <w:spacing w:line="400" w:lineRule="exact"/>
                              <w:ind w:firstLine="539" w:firstLineChars="257"/>
                              <w:rPr>
                                <w:rFonts w:hint="eastAsia" w:ascii="宋体" w:hAnsi="宋体" w:cs="黑体"/>
                                <w:szCs w:val="21"/>
                              </w:rPr>
                            </w:pPr>
                            <w:r>
                              <w:rPr>
                                <w:rFonts w:hint="eastAsia" w:ascii="宋体" w:hAnsi="宋体" w:cs="黑体"/>
                                <w:szCs w:val="21"/>
                              </w:rPr>
                              <w:t>5.改善贫困家庭居住条件。</w:t>
                            </w:r>
                          </w:p>
                          <w:p>
                            <w:pPr>
                              <w:spacing w:line="400" w:lineRule="exact"/>
                              <w:ind w:firstLine="539" w:firstLineChars="257"/>
                              <w:rPr>
                                <w:rFonts w:hint="eastAsia" w:ascii="宋体" w:hAnsi="宋体" w:cs="黑体"/>
                                <w:szCs w:val="21"/>
                              </w:rPr>
                            </w:pPr>
                            <w:r>
                              <w:rPr>
                                <w:rFonts w:hint="eastAsia" w:ascii="宋体" w:hAnsi="宋体" w:cs="黑体"/>
                                <w:szCs w:val="21"/>
                              </w:rPr>
                              <w:t>6.促进贫困人员就业。</w:t>
                            </w:r>
                          </w:p>
                          <w:p>
                            <w:pPr>
                              <w:spacing w:line="400" w:lineRule="exact"/>
                              <w:ind w:firstLine="539" w:firstLineChars="257"/>
                              <w:rPr>
                                <w:rFonts w:hint="eastAsia" w:ascii="宋体" w:hAnsi="宋体" w:cs="黑体"/>
                                <w:szCs w:val="21"/>
                              </w:rPr>
                            </w:pPr>
                            <w:r>
                              <w:rPr>
                                <w:rFonts w:hint="eastAsia" w:ascii="宋体" w:hAnsi="宋体" w:cs="黑体"/>
                                <w:szCs w:val="21"/>
                              </w:rPr>
                              <w:t>7.帮助贫困人员开展生产经营。</w:t>
                            </w:r>
                          </w:p>
                          <w:p>
                            <w:pPr>
                              <w:spacing w:line="400" w:lineRule="exact"/>
                              <w:ind w:firstLine="539" w:firstLineChars="257"/>
                              <w:rPr>
                                <w:rFonts w:hint="eastAsia" w:ascii="宋体" w:hAnsi="宋体" w:cs="黑体"/>
                                <w:szCs w:val="21"/>
                              </w:rPr>
                            </w:pPr>
                            <w:r>
                              <w:rPr>
                                <w:rFonts w:hint="eastAsia" w:ascii="宋体" w:hAnsi="宋体" w:cs="黑体"/>
                                <w:szCs w:val="21"/>
                              </w:rPr>
                              <w:t>8.强化贫困人员法律服务。</w:t>
                            </w:r>
                          </w:p>
                          <w:p>
                            <w:pPr>
                              <w:spacing w:line="400" w:lineRule="exact"/>
                              <w:ind w:firstLine="539" w:firstLineChars="257"/>
                              <w:rPr>
                                <w:rFonts w:hint="eastAsia" w:ascii="宋体" w:hAnsi="宋体" w:cs="黑体"/>
                                <w:szCs w:val="21"/>
                              </w:rPr>
                            </w:pPr>
                            <w:r>
                              <w:rPr>
                                <w:rFonts w:hint="eastAsia" w:ascii="宋体" w:hAnsi="宋体" w:cs="黑体"/>
                                <w:szCs w:val="21"/>
                              </w:rPr>
                              <w:t>9.加强贫困残疾人帮扶。</w:t>
                            </w:r>
                          </w:p>
                          <w:p>
                            <w:pPr>
                              <w:spacing w:line="400" w:lineRule="exact"/>
                              <w:ind w:firstLine="539" w:firstLineChars="257"/>
                              <w:rPr>
                                <w:rFonts w:hint="eastAsia" w:ascii="宋体" w:hAnsi="宋体" w:cs="黑体"/>
                                <w:szCs w:val="21"/>
                              </w:rPr>
                            </w:pPr>
                            <w:r>
                              <w:rPr>
                                <w:rFonts w:hint="eastAsia" w:ascii="宋体" w:hAnsi="宋体" w:cs="黑体"/>
                                <w:szCs w:val="21"/>
                              </w:rPr>
                              <w:t>10.开展贫困人员临时救助。</w:t>
                            </w:r>
                          </w:p>
                          <w:p>
                            <w:pPr>
                              <w:spacing w:line="400" w:lineRule="exact"/>
                              <w:ind w:firstLine="539" w:firstLineChars="257"/>
                              <w:rPr>
                                <w:rFonts w:hint="eastAsia" w:ascii="宋体" w:hAnsi="宋体" w:cs="黑体"/>
                                <w:szCs w:val="21"/>
                              </w:rPr>
                            </w:pPr>
                            <w:r>
                              <w:rPr>
                                <w:rFonts w:hint="eastAsia" w:ascii="宋体" w:hAnsi="宋体" w:cs="黑体"/>
                                <w:szCs w:val="21"/>
                              </w:rPr>
                              <w:t>11.鼓励社会力量扶贫帮困。</w:t>
                            </w:r>
                          </w:p>
                          <w:p>
                            <w:pPr>
                              <w:spacing w:line="500" w:lineRule="exact"/>
                              <w:rPr>
                                <w:rFonts w:hint="eastAsia" w:ascii="宋体" w:hAnsi="宋体" w:cs="黑体"/>
                                <w:szCs w:val="21"/>
                              </w:rPr>
                            </w:pPr>
                          </w:p>
                        </w:txbxContent>
                      </wps:txbx>
                      <wps:bodyPr wrap="square" upright="1"/>
                    </wps:wsp>
                  </a:graphicData>
                </a:graphic>
              </wp:anchor>
            </w:drawing>
          </mc:Choice>
          <mc:Fallback>
            <w:pict>
              <v:rect id="矩形 8" o:spid="_x0000_s1026" o:spt="1" style="position:absolute;left:0pt;margin-left:27pt;margin-top:7.8pt;height:257.4pt;width:414pt;mso-wrap-distance-bottom:0pt;mso-wrap-distance-top:0pt;z-index:251665408;mso-width-relative:page;mso-height-relative:page;" filled="f" stroked="t" coordsize="21600,21600" o:allowoverlap="f" o:gfxdata="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mxVhjYAAAACQEAAA8AAAAAAAAAAQAgAAAAIgAA&#10;AGRycy9kb3ducmV2LnhtbFBLAQIUABQAAAAIAIdO4kC/rR34CAIAABAEAAAOAAAAAAAAAAEAIAAA&#10;ACcBAABkcnMvZTJvRG9jLnhtbFBLBQYAAAAABgAGAFkBAAChBQAAAAA=&#10;">
                <v:fill on="f" focussize="0,0"/>
                <v:stroke weight="1.25pt" color="#000000" joinstyle="miter"/>
                <v:imagedata o:title=""/>
                <o:lock v:ext="edit" aspectratio="f"/>
                <v:textbox>
                  <w:txbxContent>
                    <w:p>
                      <w:pPr>
                        <w:spacing w:line="400" w:lineRule="exact"/>
                        <w:jc w:val="center"/>
                        <w:rPr>
                          <w:rFonts w:hint="eastAsia" w:ascii="宋体" w:hAnsi="宋体" w:cs="方正小标宋简体"/>
                          <w:b/>
                          <w:szCs w:val="21"/>
                        </w:rPr>
                      </w:pPr>
                      <w:r>
                        <w:rPr>
                          <w:rFonts w:hint="eastAsia" w:ascii="宋体" w:hAnsi="宋体"/>
                          <w:b/>
                          <w:bCs/>
                          <w:szCs w:val="21"/>
                        </w:rPr>
                        <w:t>专栏6：</w:t>
                      </w:r>
                      <w:r>
                        <w:rPr>
                          <w:rFonts w:hint="eastAsia" w:ascii="宋体" w:hAnsi="宋体" w:cs="方正小标宋简体"/>
                          <w:b/>
                          <w:szCs w:val="21"/>
                        </w:rPr>
                        <w:t>扶贫帮困措施</w:t>
                      </w:r>
                    </w:p>
                    <w:p>
                      <w:pPr>
                        <w:spacing w:line="400" w:lineRule="exact"/>
                        <w:ind w:firstLine="539" w:firstLineChars="257"/>
                        <w:rPr>
                          <w:rFonts w:hint="eastAsia" w:ascii="宋体" w:hAnsi="宋体" w:cs="黑体"/>
                          <w:szCs w:val="21"/>
                        </w:rPr>
                      </w:pPr>
                      <w:r>
                        <w:rPr>
                          <w:rFonts w:hint="eastAsia" w:ascii="宋体" w:hAnsi="宋体" w:cs="黑体"/>
                          <w:szCs w:val="21"/>
                        </w:rPr>
                        <w:t>1.提高低保保障五保供养标准。</w:t>
                      </w:r>
                    </w:p>
                    <w:p>
                      <w:pPr>
                        <w:spacing w:line="400" w:lineRule="exact"/>
                        <w:ind w:firstLine="539" w:firstLineChars="257"/>
                        <w:rPr>
                          <w:rFonts w:hint="eastAsia" w:ascii="宋体" w:hAnsi="宋体" w:cs="黑体"/>
                          <w:szCs w:val="21"/>
                        </w:rPr>
                      </w:pPr>
                      <w:r>
                        <w:rPr>
                          <w:rFonts w:hint="eastAsia" w:ascii="宋体" w:hAnsi="宋体" w:cs="黑体"/>
                          <w:szCs w:val="21"/>
                        </w:rPr>
                        <w:t>2.实行生活不能自理低保人员集中照料。</w:t>
                      </w:r>
                    </w:p>
                    <w:p>
                      <w:pPr>
                        <w:spacing w:line="400" w:lineRule="exact"/>
                        <w:ind w:firstLine="539" w:firstLineChars="257"/>
                        <w:rPr>
                          <w:rFonts w:hint="eastAsia" w:ascii="宋体" w:hAnsi="宋体" w:cs="黑体"/>
                          <w:szCs w:val="21"/>
                        </w:rPr>
                      </w:pPr>
                      <w:r>
                        <w:rPr>
                          <w:rFonts w:hint="eastAsia" w:ascii="宋体" w:hAnsi="宋体" w:cs="黑体"/>
                          <w:szCs w:val="21"/>
                        </w:rPr>
                        <w:t>3.完善贫困人员医疗救助措施。</w:t>
                      </w:r>
                    </w:p>
                    <w:p>
                      <w:pPr>
                        <w:spacing w:line="400" w:lineRule="exact"/>
                        <w:ind w:firstLine="539" w:firstLineChars="257"/>
                        <w:rPr>
                          <w:rFonts w:hint="eastAsia" w:ascii="宋体" w:hAnsi="宋体" w:cs="黑体"/>
                          <w:szCs w:val="21"/>
                        </w:rPr>
                      </w:pPr>
                      <w:r>
                        <w:rPr>
                          <w:rFonts w:hint="eastAsia" w:ascii="宋体" w:hAnsi="宋体" w:cs="黑体"/>
                          <w:szCs w:val="21"/>
                        </w:rPr>
                        <w:t>4.加大贫困学生教育救助力度。</w:t>
                      </w:r>
                    </w:p>
                    <w:p>
                      <w:pPr>
                        <w:spacing w:line="400" w:lineRule="exact"/>
                        <w:ind w:firstLine="539" w:firstLineChars="257"/>
                        <w:rPr>
                          <w:rFonts w:hint="eastAsia" w:ascii="宋体" w:hAnsi="宋体" w:cs="黑体"/>
                          <w:szCs w:val="21"/>
                        </w:rPr>
                      </w:pPr>
                      <w:r>
                        <w:rPr>
                          <w:rFonts w:hint="eastAsia" w:ascii="宋体" w:hAnsi="宋体" w:cs="黑体"/>
                          <w:szCs w:val="21"/>
                        </w:rPr>
                        <w:t>5.改善贫困家庭居住条件。</w:t>
                      </w:r>
                    </w:p>
                    <w:p>
                      <w:pPr>
                        <w:spacing w:line="400" w:lineRule="exact"/>
                        <w:ind w:firstLine="539" w:firstLineChars="257"/>
                        <w:rPr>
                          <w:rFonts w:hint="eastAsia" w:ascii="宋体" w:hAnsi="宋体" w:cs="黑体"/>
                          <w:szCs w:val="21"/>
                        </w:rPr>
                      </w:pPr>
                      <w:r>
                        <w:rPr>
                          <w:rFonts w:hint="eastAsia" w:ascii="宋体" w:hAnsi="宋体" w:cs="黑体"/>
                          <w:szCs w:val="21"/>
                        </w:rPr>
                        <w:t>6.促进贫困人员就业。</w:t>
                      </w:r>
                    </w:p>
                    <w:p>
                      <w:pPr>
                        <w:spacing w:line="400" w:lineRule="exact"/>
                        <w:ind w:firstLine="539" w:firstLineChars="257"/>
                        <w:rPr>
                          <w:rFonts w:hint="eastAsia" w:ascii="宋体" w:hAnsi="宋体" w:cs="黑体"/>
                          <w:szCs w:val="21"/>
                        </w:rPr>
                      </w:pPr>
                      <w:r>
                        <w:rPr>
                          <w:rFonts w:hint="eastAsia" w:ascii="宋体" w:hAnsi="宋体" w:cs="黑体"/>
                          <w:szCs w:val="21"/>
                        </w:rPr>
                        <w:t>7.帮助贫困人员开展生产经营。</w:t>
                      </w:r>
                    </w:p>
                    <w:p>
                      <w:pPr>
                        <w:spacing w:line="400" w:lineRule="exact"/>
                        <w:ind w:firstLine="539" w:firstLineChars="257"/>
                        <w:rPr>
                          <w:rFonts w:hint="eastAsia" w:ascii="宋体" w:hAnsi="宋体" w:cs="黑体"/>
                          <w:szCs w:val="21"/>
                        </w:rPr>
                      </w:pPr>
                      <w:r>
                        <w:rPr>
                          <w:rFonts w:hint="eastAsia" w:ascii="宋体" w:hAnsi="宋体" w:cs="黑体"/>
                          <w:szCs w:val="21"/>
                        </w:rPr>
                        <w:t>8.强化贫困人员法律服务。</w:t>
                      </w:r>
                    </w:p>
                    <w:p>
                      <w:pPr>
                        <w:spacing w:line="400" w:lineRule="exact"/>
                        <w:ind w:firstLine="539" w:firstLineChars="257"/>
                        <w:rPr>
                          <w:rFonts w:hint="eastAsia" w:ascii="宋体" w:hAnsi="宋体" w:cs="黑体"/>
                          <w:szCs w:val="21"/>
                        </w:rPr>
                      </w:pPr>
                      <w:r>
                        <w:rPr>
                          <w:rFonts w:hint="eastAsia" w:ascii="宋体" w:hAnsi="宋体" w:cs="黑体"/>
                          <w:szCs w:val="21"/>
                        </w:rPr>
                        <w:t>9.加强贫困残疾人帮扶。</w:t>
                      </w:r>
                    </w:p>
                    <w:p>
                      <w:pPr>
                        <w:spacing w:line="400" w:lineRule="exact"/>
                        <w:ind w:firstLine="539" w:firstLineChars="257"/>
                        <w:rPr>
                          <w:rFonts w:hint="eastAsia" w:ascii="宋体" w:hAnsi="宋体" w:cs="黑体"/>
                          <w:szCs w:val="21"/>
                        </w:rPr>
                      </w:pPr>
                      <w:r>
                        <w:rPr>
                          <w:rFonts w:hint="eastAsia" w:ascii="宋体" w:hAnsi="宋体" w:cs="黑体"/>
                          <w:szCs w:val="21"/>
                        </w:rPr>
                        <w:t>10.开展贫困人员临时救助。</w:t>
                      </w:r>
                    </w:p>
                    <w:p>
                      <w:pPr>
                        <w:spacing w:line="400" w:lineRule="exact"/>
                        <w:ind w:firstLine="539" w:firstLineChars="257"/>
                        <w:rPr>
                          <w:rFonts w:hint="eastAsia" w:ascii="宋体" w:hAnsi="宋体" w:cs="黑体"/>
                          <w:szCs w:val="21"/>
                        </w:rPr>
                      </w:pPr>
                      <w:r>
                        <w:rPr>
                          <w:rFonts w:hint="eastAsia" w:ascii="宋体" w:hAnsi="宋体" w:cs="黑体"/>
                          <w:szCs w:val="21"/>
                        </w:rPr>
                        <w:t>11.鼓励社会力量扶贫帮困。</w:t>
                      </w:r>
                    </w:p>
                    <w:p>
                      <w:pPr>
                        <w:spacing w:line="500" w:lineRule="exact"/>
                        <w:rPr>
                          <w:rFonts w:hint="eastAsia" w:ascii="宋体" w:hAnsi="宋体" w:cs="黑体"/>
                          <w:szCs w:val="21"/>
                        </w:rPr>
                      </w:pPr>
                    </w:p>
                  </w:txbxContent>
                </v:textbox>
                <w10:wrap type="topAndBottom"/>
              </v:rect>
            </w:pict>
          </mc:Fallback>
        </mc:AlternateContent>
      </w:r>
      <w:bookmarkEnd w:id="109"/>
    </w:p>
    <w:p>
      <w:pPr>
        <w:spacing w:line="320" w:lineRule="exact"/>
        <w:ind w:firstLine="472" w:firstLineChars="224"/>
        <w:outlineLvl w:val="2"/>
        <w:rPr>
          <w:rFonts w:hint="eastAsia" w:ascii="宋体" w:hAnsi="宋体" w:cs="仿宋"/>
          <w:b/>
          <w:szCs w:val="21"/>
        </w:rPr>
      </w:pPr>
      <w:bookmarkStart w:id="110" w:name="_Toc443378702"/>
      <w:r>
        <w:rPr>
          <w:rFonts w:hint="eastAsia" w:ascii="宋体" w:hAnsi="宋体" w:cs="仿宋"/>
          <w:b/>
          <w:szCs w:val="21"/>
        </w:rPr>
        <w:t>八、做好新时期人口工作</w:t>
      </w:r>
      <w:bookmarkEnd w:id="110"/>
    </w:p>
    <w:p>
      <w:pPr>
        <w:spacing w:line="320" w:lineRule="exact"/>
        <w:ind w:firstLine="470" w:firstLineChars="224"/>
        <w:outlineLvl w:val="3"/>
        <w:rPr>
          <w:rFonts w:hint="eastAsia" w:ascii="宋体" w:hAnsi="宋体"/>
          <w:szCs w:val="21"/>
        </w:rPr>
      </w:pPr>
      <w:bookmarkStart w:id="111" w:name="_Toc436295578"/>
      <w:bookmarkStart w:id="112" w:name="_Toc443378703"/>
      <w:bookmarkStart w:id="113" w:name="_Toc435623748"/>
      <w:bookmarkStart w:id="114" w:name="_Toc435021369"/>
      <w:r>
        <w:rPr>
          <w:rFonts w:hint="eastAsia" w:ascii="宋体" w:hAnsi="宋体"/>
          <w:szCs w:val="21"/>
        </w:rPr>
        <w:t>落实国家全面两孩政策，提高生殖健康、妇幼保健、托幼等公共服务水平。充分发挥大学城、职教城优质人口优势，完善城市宜居功能，发展经济增加就业岗位，加速人口集聚，提高人口质量。到2020年沈北常住人口达到70万，人口素质明显提高。</w:t>
      </w:r>
      <w:bookmarkEnd w:id="111"/>
      <w:bookmarkEnd w:id="112"/>
      <w:bookmarkEnd w:id="113"/>
      <w:bookmarkEnd w:id="114"/>
    </w:p>
    <w:p>
      <w:pPr>
        <w:spacing w:line="320" w:lineRule="exact"/>
        <w:jc w:val="center"/>
        <w:outlineLvl w:val="1"/>
        <w:rPr>
          <w:rFonts w:hint="eastAsia" w:ascii="黑体" w:hAnsi="宋体" w:eastAsia="黑体" w:cs="黑体"/>
          <w:sz w:val="24"/>
        </w:rPr>
      </w:pPr>
      <w:bookmarkStart w:id="115" w:name="_Toc443378704"/>
      <w:r>
        <w:rPr>
          <w:rFonts w:hint="eastAsia" w:ascii="黑体" w:hAnsi="宋体" w:eastAsia="黑体" w:cs="仿宋"/>
          <w:b/>
          <w:sz w:val="24"/>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100965</wp:posOffset>
                </wp:positionV>
                <wp:extent cx="5257800" cy="2542540"/>
                <wp:effectExtent l="7620" t="7620" r="11430" b="21590"/>
                <wp:wrapTopAndBottom/>
                <wp:docPr id="4" name="Rectangle 10"/>
                <wp:cNvGraphicFramePr/>
                <a:graphic xmlns:a="http://schemas.openxmlformats.org/drawingml/2006/main">
                  <a:graphicData uri="http://schemas.microsoft.com/office/word/2010/wordprocessingShape">
                    <wps:wsp>
                      <wps:cNvSpPr/>
                      <wps:spPr>
                        <a:xfrm>
                          <a:off x="0" y="0"/>
                          <a:ext cx="5257800" cy="2542540"/>
                        </a:xfrm>
                        <a:prstGeom prst="rect">
                          <a:avLst/>
                        </a:prstGeom>
                        <a:noFill/>
                        <a:ln w="15875" cap="flat" cmpd="sng">
                          <a:solidFill>
                            <a:srgbClr val="000000"/>
                          </a:solidFill>
                          <a:prstDash val="solid"/>
                          <a:miter/>
                          <a:headEnd type="none" w="med" len="med"/>
                          <a:tailEnd type="none" w="med" len="med"/>
                        </a:ln>
                      </wps:spPr>
                      <wps:txbx>
                        <w:txbxContent>
                          <w:p>
                            <w:pPr>
                              <w:jc w:val="center"/>
                              <w:rPr>
                                <w:rFonts w:hint="eastAsia" w:ascii="宋体" w:hAnsi="宋体"/>
                                <w:b/>
                                <w:bCs/>
                              </w:rPr>
                            </w:pPr>
                            <w:r>
                              <w:rPr>
                                <w:rFonts w:hint="eastAsia" w:ascii="宋体" w:hAnsi="宋体"/>
                                <w:b/>
                                <w:bCs/>
                              </w:rPr>
                              <w:t>专栏7：重点民生项目</w:t>
                            </w:r>
                          </w:p>
                          <w:p>
                            <w:pPr>
                              <w:ind w:firstLine="358" w:firstLineChars="170"/>
                              <w:rPr>
                                <w:rFonts w:hint="eastAsia" w:ascii="宋体" w:hAnsi="宋体"/>
                                <w:b/>
                                <w:bCs/>
                              </w:rPr>
                            </w:pPr>
                            <w:r>
                              <w:rPr>
                                <w:rFonts w:hint="eastAsia" w:ascii="宋体" w:hAnsi="宋体"/>
                                <w:b/>
                                <w:bCs/>
                              </w:rPr>
                              <w:t>1.锡伯族博物馆：</w:t>
                            </w:r>
                            <w:r>
                              <w:rPr>
                                <w:rFonts w:hint="eastAsia" w:ascii="宋体" w:hAnsi="宋体"/>
                                <w:bCs/>
                                <w:szCs w:val="21"/>
                              </w:rPr>
                              <w:t>投资7242万元，建设锡伯族文化</w:t>
                            </w:r>
                            <w:r>
                              <w:rPr>
                                <w:rFonts w:hint="eastAsia" w:ascii="宋体" w:hAnsi="宋体"/>
                                <w:szCs w:val="21"/>
                              </w:rPr>
                              <w:t>历史展厅、近现代史展厅、民俗展厅及非物质文化遗产厅、多功能厅。</w:t>
                            </w:r>
                          </w:p>
                          <w:p>
                            <w:pPr>
                              <w:ind w:firstLine="358" w:firstLineChars="170"/>
                              <w:rPr>
                                <w:rFonts w:hint="eastAsia" w:ascii="宋体" w:hAnsi="宋体"/>
                                <w:bCs/>
                              </w:rPr>
                            </w:pPr>
                            <w:r>
                              <w:rPr>
                                <w:rFonts w:hint="eastAsia" w:ascii="宋体" w:hAnsi="宋体"/>
                                <w:b/>
                                <w:bCs/>
                              </w:rPr>
                              <w:t>2.雨田中学：</w:t>
                            </w:r>
                            <w:r>
                              <w:rPr>
                                <w:rFonts w:hint="eastAsia" w:ascii="宋体" w:hAnsi="宋体"/>
                                <w:bCs/>
                              </w:rPr>
                              <w:t>投资2.5亿元，在道义地区建设九年一贯制学校，包括幼儿园、小学、初中。</w:t>
                            </w:r>
                          </w:p>
                          <w:p>
                            <w:pPr>
                              <w:ind w:firstLine="358" w:firstLineChars="170"/>
                              <w:rPr>
                                <w:rFonts w:hint="eastAsia" w:ascii="宋体" w:hAnsi="宋体"/>
                                <w:bCs/>
                              </w:rPr>
                            </w:pPr>
                            <w:r>
                              <w:rPr>
                                <w:rFonts w:hint="eastAsia" w:ascii="宋体" w:hAnsi="宋体"/>
                                <w:b/>
                                <w:bCs/>
                              </w:rPr>
                              <w:t>3.虎石台新高中</w:t>
                            </w:r>
                            <w:r>
                              <w:rPr>
                                <w:rFonts w:hint="eastAsia" w:ascii="宋体" w:hAnsi="宋体"/>
                                <w:bCs/>
                              </w:rPr>
                              <w:t>：投资1.75亿元，完成原虎石台矿中搬迁建设。</w:t>
                            </w:r>
                          </w:p>
                          <w:p>
                            <w:pPr>
                              <w:ind w:firstLine="358" w:firstLineChars="170"/>
                              <w:rPr>
                                <w:rFonts w:hint="eastAsia" w:ascii="宋体" w:hAnsi="宋体"/>
                                <w:szCs w:val="21"/>
                              </w:rPr>
                            </w:pPr>
                            <w:r>
                              <w:rPr>
                                <w:rFonts w:hint="eastAsia" w:ascii="宋体" w:hAnsi="宋体"/>
                                <w:b/>
                                <w:bCs/>
                              </w:rPr>
                              <w:t>4.权健医院：</w:t>
                            </w:r>
                            <w:r>
                              <w:rPr>
                                <w:rFonts w:hint="eastAsia" w:ascii="宋体" w:hAnsi="宋体"/>
                                <w:bCs/>
                              </w:rPr>
                              <w:t>投资13.5亿元，建设</w:t>
                            </w:r>
                            <w:r>
                              <w:rPr>
                                <w:rFonts w:hint="eastAsia" w:ascii="宋体" w:hAnsi="宋体"/>
                                <w:szCs w:val="21"/>
                              </w:rPr>
                              <w:t>中西医结合肿瘤专科医院。</w:t>
                            </w:r>
                          </w:p>
                          <w:p>
                            <w:pPr>
                              <w:ind w:firstLine="358" w:firstLineChars="170"/>
                              <w:rPr>
                                <w:rFonts w:hint="eastAsia" w:ascii="宋体" w:hAnsi="宋体"/>
                                <w:bCs/>
                                <w:szCs w:val="21"/>
                              </w:rPr>
                            </w:pPr>
                            <w:r>
                              <w:rPr>
                                <w:rFonts w:hint="eastAsia" w:ascii="宋体" w:hAnsi="宋体"/>
                                <w:b/>
                                <w:bCs/>
                                <w:szCs w:val="21"/>
                              </w:rPr>
                              <w:t>5.盛京医院沈北分院：</w:t>
                            </w:r>
                            <w:r>
                              <w:rPr>
                                <w:rFonts w:hint="eastAsia" w:ascii="宋体" w:hAnsi="宋体"/>
                                <w:bCs/>
                                <w:szCs w:val="21"/>
                              </w:rPr>
                              <w:t>投资6.5亿元，主要建设集医疗、教学、科研为一体的综合医院。</w:t>
                            </w:r>
                          </w:p>
                          <w:p>
                            <w:pPr>
                              <w:ind w:firstLine="358" w:firstLineChars="170"/>
                              <w:rPr>
                                <w:rFonts w:hint="eastAsia" w:ascii="宋体" w:hAnsi="宋体"/>
                                <w:b/>
                                <w:bCs/>
                                <w:szCs w:val="21"/>
                              </w:rPr>
                            </w:pPr>
                            <w:r>
                              <w:rPr>
                                <w:rFonts w:hint="eastAsia" w:ascii="宋体" w:hAnsi="宋体"/>
                                <w:b/>
                                <w:bCs/>
                                <w:szCs w:val="21"/>
                              </w:rPr>
                              <w:t>6.沈北新区中医院：</w:t>
                            </w:r>
                            <w:r>
                              <w:rPr>
                                <w:rFonts w:hint="eastAsia" w:ascii="宋体" w:hAnsi="宋体"/>
                                <w:bCs/>
                                <w:szCs w:val="21"/>
                              </w:rPr>
                              <w:t>投资3500万元，建设国家标准化二级甲等中医院。</w:t>
                            </w:r>
                          </w:p>
                          <w:p>
                            <w:pPr>
                              <w:ind w:firstLine="358" w:firstLineChars="170"/>
                              <w:rPr>
                                <w:rFonts w:hint="eastAsia" w:ascii="宋体" w:hAnsi="宋体"/>
                                <w:bCs/>
                                <w:szCs w:val="21"/>
                              </w:rPr>
                            </w:pPr>
                            <w:r>
                              <w:rPr>
                                <w:rFonts w:hint="eastAsia" w:ascii="宋体" w:hAnsi="宋体"/>
                                <w:b/>
                                <w:bCs/>
                                <w:szCs w:val="21"/>
                              </w:rPr>
                              <w:t>7.道义卫生服务中心：</w:t>
                            </w:r>
                            <w:r>
                              <w:rPr>
                                <w:rFonts w:hint="eastAsia" w:ascii="宋体" w:hAnsi="宋体"/>
                                <w:bCs/>
                                <w:szCs w:val="21"/>
                              </w:rPr>
                              <w:t>投资999万元，在道义地区建设综合门诊楼及相关设施。</w:t>
                            </w:r>
                          </w:p>
                          <w:p>
                            <w:pPr>
                              <w:ind w:firstLine="358" w:firstLineChars="170"/>
                              <w:rPr>
                                <w:rFonts w:hint="eastAsia" w:ascii="宋体" w:hAnsi="宋体"/>
                                <w:b/>
                                <w:bCs/>
                                <w:szCs w:val="21"/>
                              </w:rPr>
                            </w:pPr>
                            <w:r>
                              <w:rPr>
                                <w:rFonts w:hint="eastAsia" w:ascii="宋体" w:hAnsi="宋体"/>
                                <w:b/>
                                <w:bCs/>
                                <w:szCs w:val="21"/>
                              </w:rPr>
                              <w:t>8.棚户区（城中村）改造：</w:t>
                            </w:r>
                            <w:r>
                              <w:rPr>
                                <w:rFonts w:hint="eastAsia" w:ascii="宋体" w:hAnsi="宋体"/>
                                <w:szCs w:val="21"/>
                              </w:rPr>
                              <w:t>投资37亿元，对20个棚户区（城中村）搬迁改造。</w:t>
                            </w:r>
                          </w:p>
                        </w:txbxContent>
                      </wps:txbx>
                      <wps:bodyPr wrap="square" upright="1"/>
                    </wps:wsp>
                  </a:graphicData>
                </a:graphic>
              </wp:anchor>
            </w:drawing>
          </mc:Choice>
          <mc:Fallback>
            <w:pict>
              <v:rect id="Rectangle 10" o:spid="_x0000_s1026" o:spt="1" style="position:absolute;left:0pt;margin-top:7.95pt;height:200.2pt;width:414pt;mso-position-horizontal:center;mso-wrap-distance-bottom:0pt;mso-wrap-distance-top:0pt;z-index:251662336;mso-width-relative:page;mso-height-relative:page;" filled="f" stroked="t" coordsize="21600,21600" o:gfxdata="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k7ZmdcAAAAHAQAADwAAAAAAAAABACAAAAAiAAAAZHJzL2Rvd25yZXYu&#10;eG1sUEsBAhQAFAAAAAgAh07iQLyH/Q/8AQAAFAQAAA4AAAAAAAAAAQAgAAAAJgEAAGRycy9lMm9E&#10;b2MueG1sUEsFBgAAAAAGAAYAWQEAAJQFAAAAAA==&#10;">
                <v:fill on="f" focussize="0,0"/>
                <v:stroke weight="1.25pt" color="#000000" joinstyle="miter"/>
                <v:imagedata o:title=""/>
                <o:lock v:ext="edit" aspectratio="f"/>
                <v:textbox>
                  <w:txbxContent>
                    <w:p>
                      <w:pPr>
                        <w:jc w:val="center"/>
                        <w:rPr>
                          <w:rFonts w:hint="eastAsia" w:ascii="宋体" w:hAnsi="宋体"/>
                          <w:b/>
                          <w:bCs/>
                        </w:rPr>
                      </w:pPr>
                      <w:r>
                        <w:rPr>
                          <w:rFonts w:hint="eastAsia" w:ascii="宋体" w:hAnsi="宋体"/>
                          <w:b/>
                          <w:bCs/>
                        </w:rPr>
                        <w:t>专栏7：重点民生项目</w:t>
                      </w:r>
                    </w:p>
                    <w:p>
                      <w:pPr>
                        <w:ind w:firstLine="358" w:firstLineChars="170"/>
                        <w:rPr>
                          <w:rFonts w:hint="eastAsia" w:ascii="宋体" w:hAnsi="宋体"/>
                          <w:b/>
                          <w:bCs/>
                        </w:rPr>
                      </w:pPr>
                      <w:r>
                        <w:rPr>
                          <w:rFonts w:hint="eastAsia" w:ascii="宋体" w:hAnsi="宋体"/>
                          <w:b/>
                          <w:bCs/>
                        </w:rPr>
                        <w:t>1.锡伯族博物馆：</w:t>
                      </w:r>
                      <w:r>
                        <w:rPr>
                          <w:rFonts w:hint="eastAsia" w:ascii="宋体" w:hAnsi="宋体"/>
                          <w:bCs/>
                          <w:szCs w:val="21"/>
                        </w:rPr>
                        <w:t>投资7242万元，建设锡伯族文化</w:t>
                      </w:r>
                      <w:r>
                        <w:rPr>
                          <w:rFonts w:hint="eastAsia" w:ascii="宋体" w:hAnsi="宋体"/>
                          <w:szCs w:val="21"/>
                        </w:rPr>
                        <w:t>历史展厅、近现代史展厅、民俗展厅及非物质文化遗产厅、多功能厅。</w:t>
                      </w:r>
                    </w:p>
                    <w:p>
                      <w:pPr>
                        <w:ind w:firstLine="358" w:firstLineChars="170"/>
                        <w:rPr>
                          <w:rFonts w:hint="eastAsia" w:ascii="宋体" w:hAnsi="宋体"/>
                          <w:bCs/>
                        </w:rPr>
                      </w:pPr>
                      <w:r>
                        <w:rPr>
                          <w:rFonts w:hint="eastAsia" w:ascii="宋体" w:hAnsi="宋体"/>
                          <w:b/>
                          <w:bCs/>
                        </w:rPr>
                        <w:t>2.雨田中学：</w:t>
                      </w:r>
                      <w:r>
                        <w:rPr>
                          <w:rFonts w:hint="eastAsia" w:ascii="宋体" w:hAnsi="宋体"/>
                          <w:bCs/>
                        </w:rPr>
                        <w:t>投资2.5亿元，在道义地区建设九年一贯制学校，包括幼儿园、小学、初中。</w:t>
                      </w:r>
                    </w:p>
                    <w:p>
                      <w:pPr>
                        <w:ind w:firstLine="358" w:firstLineChars="170"/>
                        <w:rPr>
                          <w:rFonts w:hint="eastAsia" w:ascii="宋体" w:hAnsi="宋体"/>
                          <w:bCs/>
                        </w:rPr>
                      </w:pPr>
                      <w:r>
                        <w:rPr>
                          <w:rFonts w:hint="eastAsia" w:ascii="宋体" w:hAnsi="宋体"/>
                          <w:b/>
                          <w:bCs/>
                        </w:rPr>
                        <w:t>3.虎石台新高中</w:t>
                      </w:r>
                      <w:r>
                        <w:rPr>
                          <w:rFonts w:hint="eastAsia" w:ascii="宋体" w:hAnsi="宋体"/>
                          <w:bCs/>
                        </w:rPr>
                        <w:t>：投资1.75亿元，完成原虎石台矿中搬迁建设。</w:t>
                      </w:r>
                    </w:p>
                    <w:p>
                      <w:pPr>
                        <w:ind w:firstLine="358" w:firstLineChars="170"/>
                        <w:rPr>
                          <w:rFonts w:hint="eastAsia" w:ascii="宋体" w:hAnsi="宋体"/>
                          <w:szCs w:val="21"/>
                        </w:rPr>
                      </w:pPr>
                      <w:r>
                        <w:rPr>
                          <w:rFonts w:hint="eastAsia" w:ascii="宋体" w:hAnsi="宋体"/>
                          <w:b/>
                          <w:bCs/>
                        </w:rPr>
                        <w:t>4.权健医院：</w:t>
                      </w:r>
                      <w:r>
                        <w:rPr>
                          <w:rFonts w:hint="eastAsia" w:ascii="宋体" w:hAnsi="宋体"/>
                          <w:bCs/>
                        </w:rPr>
                        <w:t>投资13.5亿元，建设</w:t>
                      </w:r>
                      <w:r>
                        <w:rPr>
                          <w:rFonts w:hint="eastAsia" w:ascii="宋体" w:hAnsi="宋体"/>
                          <w:szCs w:val="21"/>
                        </w:rPr>
                        <w:t>中西医结合肿瘤专科医院。</w:t>
                      </w:r>
                    </w:p>
                    <w:p>
                      <w:pPr>
                        <w:ind w:firstLine="358" w:firstLineChars="170"/>
                        <w:rPr>
                          <w:rFonts w:hint="eastAsia" w:ascii="宋体" w:hAnsi="宋体"/>
                          <w:bCs/>
                          <w:szCs w:val="21"/>
                        </w:rPr>
                      </w:pPr>
                      <w:r>
                        <w:rPr>
                          <w:rFonts w:hint="eastAsia" w:ascii="宋体" w:hAnsi="宋体"/>
                          <w:b/>
                          <w:bCs/>
                          <w:szCs w:val="21"/>
                        </w:rPr>
                        <w:t>5.盛京医院沈北分院：</w:t>
                      </w:r>
                      <w:r>
                        <w:rPr>
                          <w:rFonts w:hint="eastAsia" w:ascii="宋体" w:hAnsi="宋体"/>
                          <w:bCs/>
                          <w:szCs w:val="21"/>
                        </w:rPr>
                        <w:t>投资6.5亿元，主要建设集医疗、教学、科研为一体的综合医院。</w:t>
                      </w:r>
                    </w:p>
                    <w:p>
                      <w:pPr>
                        <w:ind w:firstLine="358" w:firstLineChars="170"/>
                        <w:rPr>
                          <w:rFonts w:hint="eastAsia" w:ascii="宋体" w:hAnsi="宋体"/>
                          <w:b/>
                          <w:bCs/>
                          <w:szCs w:val="21"/>
                        </w:rPr>
                      </w:pPr>
                      <w:r>
                        <w:rPr>
                          <w:rFonts w:hint="eastAsia" w:ascii="宋体" w:hAnsi="宋体"/>
                          <w:b/>
                          <w:bCs/>
                          <w:szCs w:val="21"/>
                        </w:rPr>
                        <w:t>6.沈北新区中医院：</w:t>
                      </w:r>
                      <w:r>
                        <w:rPr>
                          <w:rFonts w:hint="eastAsia" w:ascii="宋体" w:hAnsi="宋体"/>
                          <w:bCs/>
                          <w:szCs w:val="21"/>
                        </w:rPr>
                        <w:t>投资3500万元，建设国家标准化二级甲等中医院。</w:t>
                      </w:r>
                    </w:p>
                    <w:p>
                      <w:pPr>
                        <w:ind w:firstLine="358" w:firstLineChars="170"/>
                        <w:rPr>
                          <w:rFonts w:hint="eastAsia" w:ascii="宋体" w:hAnsi="宋体"/>
                          <w:bCs/>
                          <w:szCs w:val="21"/>
                        </w:rPr>
                      </w:pPr>
                      <w:r>
                        <w:rPr>
                          <w:rFonts w:hint="eastAsia" w:ascii="宋体" w:hAnsi="宋体"/>
                          <w:b/>
                          <w:bCs/>
                          <w:szCs w:val="21"/>
                        </w:rPr>
                        <w:t>7.道义卫生服务中心：</w:t>
                      </w:r>
                      <w:r>
                        <w:rPr>
                          <w:rFonts w:hint="eastAsia" w:ascii="宋体" w:hAnsi="宋体"/>
                          <w:bCs/>
                          <w:szCs w:val="21"/>
                        </w:rPr>
                        <w:t>投资999万元，在道义地区建设综合门诊楼及相关设施。</w:t>
                      </w:r>
                    </w:p>
                    <w:p>
                      <w:pPr>
                        <w:ind w:firstLine="358" w:firstLineChars="170"/>
                        <w:rPr>
                          <w:rFonts w:hint="eastAsia" w:ascii="宋体" w:hAnsi="宋体"/>
                          <w:b/>
                          <w:bCs/>
                          <w:szCs w:val="21"/>
                        </w:rPr>
                      </w:pPr>
                      <w:r>
                        <w:rPr>
                          <w:rFonts w:hint="eastAsia" w:ascii="宋体" w:hAnsi="宋体"/>
                          <w:b/>
                          <w:bCs/>
                          <w:szCs w:val="21"/>
                        </w:rPr>
                        <w:t>8.棚户区（城中村）改造：</w:t>
                      </w:r>
                      <w:r>
                        <w:rPr>
                          <w:rFonts w:hint="eastAsia" w:ascii="宋体" w:hAnsi="宋体"/>
                          <w:szCs w:val="21"/>
                        </w:rPr>
                        <w:t>投资37亿元，对20个棚户区（城中村）搬迁改造。</w:t>
                      </w:r>
                    </w:p>
                  </w:txbxContent>
                </v:textbox>
                <w10:wrap type="topAndBottom"/>
              </v:rect>
            </w:pict>
          </mc:Fallback>
        </mc:AlternateContent>
      </w:r>
      <w:r>
        <w:rPr>
          <w:rFonts w:hint="eastAsia" w:ascii="黑体" w:hAnsi="宋体" w:eastAsia="黑体" w:cs="黑体"/>
          <w:sz w:val="24"/>
        </w:rPr>
        <w:t>第六节 坚持协调发展，实现城乡一体化</w:t>
      </w:r>
      <w:bookmarkEnd w:id="115"/>
    </w:p>
    <w:p>
      <w:pPr>
        <w:spacing w:line="320" w:lineRule="exact"/>
        <w:ind w:firstLine="470" w:firstLineChars="224"/>
        <w:outlineLvl w:val="3"/>
        <w:rPr>
          <w:rFonts w:hint="eastAsia" w:ascii="宋体" w:hAnsi="宋体"/>
          <w:szCs w:val="21"/>
        </w:rPr>
      </w:pPr>
      <w:bookmarkStart w:id="116" w:name="_Toc443378705"/>
      <w:bookmarkStart w:id="117" w:name="_Toc435021371"/>
      <w:bookmarkStart w:id="118" w:name="_Toc435623750"/>
      <w:bookmarkStart w:id="119" w:name="_Toc436295580"/>
      <w:r>
        <w:rPr>
          <w:rFonts w:hint="eastAsia" w:ascii="宋体" w:hAnsi="宋体"/>
          <w:szCs w:val="21"/>
        </w:rPr>
        <w:t>加强智慧沈北建设，推进城市精细化管理，促进城乡协调发展和产城融合发展，到2020年基本实现城乡一体化。</w:t>
      </w:r>
      <w:bookmarkEnd w:id="116"/>
      <w:bookmarkEnd w:id="117"/>
      <w:bookmarkEnd w:id="118"/>
      <w:bookmarkEnd w:id="119"/>
    </w:p>
    <w:p>
      <w:pPr>
        <w:spacing w:line="320" w:lineRule="exact"/>
        <w:ind w:firstLine="474" w:firstLineChars="225"/>
        <w:outlineLvl w:val="2"/>
        <w:rPr>
          <w:rFonts w:hint="eastAsia" w:ascii="宋体" w:hAnsi="宋体" w:cs="仿宋"/>
          <w:b/>
          <w:szCs w:val="21"/>
        </w:rPr>
      </w:pPr>
      <w:bookmarkStart w:id="120" w:name="_Toc443378706"/>
      <w:r>
        <w:rPr>
          <w:rFonts w:hint="eastAsia" w:ascii="宋体" w:hAnsi="宋体" w:cs="仿宋"/>
          <w:b/>
          <w:szCs w:val="21"/>
        </w:rPr>
        <w:t>一、基础设施一体化</w:t>
      </w:r>
      <w:bookmarkEnd w:id="120"/>
    </w:p>
    <w:p>
      <w:pPr>
        <w:spacing w:line="320" w:lineRule="exact"/>
        <w:ind w:firstLine="470" w:firstLineChars="224"/>
        <w:outlineLvl w:val="3"/>
        <w:rPr>
          <w:rFonts w:hint="eastAsia" w:ascii="宋体" w:hAnsi="宋体"/>
          <w:szCs w:val="21"/>
        </w:rPr>
      </w:pPr>
      <w:bookmarkStart w:id="121" w:name="_Toc443378707"/>
      <w:bookmarkStart w:id="122" w:name="_Toc435623752"/>
      <w:bookmarkStart w:id="123" w:name="_Toc436295582"/>
      <w:bookmarkStart w:id="124" w:name="_Toc435021373"/>
      <w:r>
        <w:rPr>
          <w:rFonts w:hint="eastAsia" w:ascii="宋体" w:hAnsi="宋体"/>
          <w:szCs w:val="21"/>
        </w:rPr>
        <w:t>推进城市基础设施向农村延伸，逐步实现城乡基础设施建设同标准一体化。</w:t>
      </w:r>
      <w:bookmarkEnd w:id="121"/>
      <w:bookmarkEnd w:id="122"/>
      <w:bookmarkEnd w:id="123"/>
      <w:bookmarkEnd w:id="124"/>
    </w:p>
    <w:p>
      <w:pPr>
        <w:numPr>
          <w:ilvl w:val="0"/>
          <w:numId w:val="2"/>
        </w:numPr>
        <w:spacing w:line="320" w:lineRule="exact"/>
        <w:ind w:firstLine="472" w:firstLineChars="224"/>
        <w:outlineLvl w:val="3"/>
        <w:rPr>
          <w:rFonts w:hint="eastAsia" w:ascii="宋体" w:hAnsi="宋体"/>
          <w:szCs w:val="21"/>
        </w:rPr>
      </w:pPr>
      <w:bookmarkStart w:id="125" w:name="_Toc443378708"/>
      <w:r>
        <w:rPr>
          <w:rFonts w:hint="eastAsia" w:ascii="宋体" w:hAnsi="宋体"/>
          <w:b/>
          <w:szCs w:val="21"/>
        </w:rPr>
        <w:t>道路交通建设</w:t>
      </w:r>
      <w:r>
        <w:rPr>
          <w:rFonts w:hint="eastAsia" w:ascii="宋体" w:hAnsi="宋体"/>
          <w:szCs w:val="21"/>
        </w:rPr>
        <w:t>。完成地铁二号线北北线、四号线北延线和沈北通用机场建设，推进京哈直通线新沈阳北站、轨道交通11号线建设和与母城通道建设。投资20亿元建设及改造城市道路234公里、农村道路413公里，安装路灯13000盏。大力发展公共交通，构建轨道交通与常规交通相结合，各种交通方式有机衔接的多模式现代公共交通体系，实现城乡客运一体化。增加公交班线，实现人口产业聚集区和全部农村通公共交通。政府主导，同时引导社会力量投资建设停车场。</w:t>
      </w:r>
      <w:bookmarkEnd w:id="125"/>
    </w:p>
    <w:p>
      <w:pPr>
        <w:spacing w:line="320" w:lineRule="exact"/>
        <w:ind w:firstLine="472" w:firstLineChars="224"/>
        <w:outlineLvl w:val="3"/>
        <w:rPr>
          <w:rFonts w:hint="eastAsia" w:ascii="宋体" w:hAnsi="宋体"/>
          <w:szCs w:val="21"/>
        </w:rPr>
      </w:pPr>
      <w:bookmarkStart w:id="126" w:name="_Toc443378709"/>
      <w:r>
        <w:rPr>
          <w:rFonts w:hint="eastAsia" w:ascii="宋体" w:hAnsi="宋体"/>
          <w:b/>
          <w:szCs w:val="21"/>
        </w:rPr>
        <w:t>2.电网改造建设</w:t>
      </w:r>
      <w:r>
        <w:rPr>
          <w:rFonts w:hint="eastAsia" w:ascii="宋体" w:hAnsi="宋体"/>
          <w:szCs w:val="21"/>
        </w:rPr>
        <w:t>。投资5.5亿元建设5座变电所，新建、迁移10KV和66KV高压线60公里，增加变电容量640兆瓦。</w:t>
      </w:r>
      <w:bookmarkEnd w:id="126"/>
    </w:p>
    <w:p>
      <w:pPr>
        <w:spacing w:line="320" w:lineRule="exact"/>
        <w:ind w:firstLine="472" w:firstLineChars="224"/>
        <w:outlineLvl w:val="3"/>
        <w:rPr>
          <w:rFonts w:hint="eastAsia" w:ascii="宋体" w:hAnsi="宋体"/>
          <w:szCs w:val="21"/>
        </w:rPr>
      </w:pPr>
      <w:bookmarkStart w:id="127" w:name="_Toc443378710"/>
      <w:r>
        <w:rPr>
          <w:rFonts w:hint="eastAsia" w:ascii="宋体" w:hAnsi="宋体"/>
          <w:b/>
          <w:szCs w:val="21"/>
        </w:rPr>
        <w:t>3.供水设施建设</w:t>
      </w:r>
      <w:r>
        <w:rPr>
          <w:rFonts w:hint="eastAsia" w:ascii="宋体" w:hAnsi="宋体"/>
          <w:szCs w:val="21"/>
        </w:rPr>
        <w:t>。推进辽西北水厂建设，扩建新城子水厂，增加4万吨/日取水能力。重点对农村和新城子地区供水设施进行全面改造，新建、改造给水管网26公里，确保城乡24小时供水和饮水安全。</w:t>
      </w:r>
      <w:bookmarkEnd w:id="127"/>
    </w:p>
    <w:p>
      <w:pPr>
        <w:spacing w:line="320" w:lineRule="exact"/>
        <w:ind w:firstLine="472" w:firstLineChars="224"/>
        <w:outlineLvl w:val="3"/>
        <w:rPr>
          <w:rFonts w:hint="eastAsia" w:ascii="宋体" w:hAnsi="宋体"/>
          <w:szCs w:val="21"/>
        </w:rPr>
      </w:pPr>
      <w:bookmarkStart w:id="128" w:name="_Toc443378711"/>
      <w:r>
        <w:rPr>
          <w:rFonts w:hint="eastAsia" w:ascii="宋体" w:hAnsi="宋体"/>
          <w:b/>
          <w:szCs w:val="21"/>
        </w:rPr>
        <w:t>4.水利设施建设</w:t>
      </w:r>
      <w:r>
        <w:rPr>
          <w:rFonts w:hint="eastAsia" w:ascii="宋体" w:hAnsi="宋体"/>
          <w:szCs w:val="21"/>
        </w:rPr>
        <w:t>。加快农田水利设施建设改造，实施节水灌溉、涝区治理、防汛抗旱、水库移民、水土保持工程，为现代农业发展提供有力保障。</w:t>
      </w:r>
      <w:bookmarkEnd w:id="128"/>
    </w:p>
    <w:p>
      <w:pPr>
        <w:spacing w:line="320" w:lineRule="exact"/>
        <w:ind w:firstLine="472" w:firstLineChars="224"/>
        <w:outlineLvl w:val="3"/>
        <w:rPr>
          <w:rFonts w:hint="eastAsia" w:ascii="宋体" w:hAnsi="宋体"/>
          <w:szCs w:val="21"/>
        </w:rPr>
      </w:pPr>
      <w:bookmarkStart w:id="129" w:name="_Toc443378712"/>
      <w:r>
        <w:rPr>
          <w:rFonts w:hint="eastAsia" w:ascii="宋体" w:hAnsi="宋体"/>
          <w:b/>
          <w:szCs w:val="21"/>
        </w:rPr>
        <w:t>5.老旧房屋改造</w:t>
      </w:r>
      <w:r>
        <w:rPr>
          <w:rFonts w:hint="eastAsia" w:ascii="宋体" w:hAnsi="宋体"/>
          <w:szCs w:val="21"/>
        </w:rPr>
        <w:t>。加快棚户区（城中村）拆迁改造，完成老旧小区综合改造和暖房子工程。</w:t>
      </w:r>
      <w:bookmarkEnd w:id="129"/>
    </w:p>
    <w:p>
      <w:pPr>
        <w:spacing w:line="320" w:lineRule="exact"/>
        <w:ind w:firstLine="472" w:firstLineChars="224"/>
        <w:outlineLvl w:val="3"/>
        <w:rPr>
          <w:rFonts w:hint="eastAsia" w:ascii="宋体" w:hAnsi="宋体"/>
          <w:szCs w:val="21"/>
        </w:rPr>
      </w:pPr>
      <w:bookmarkStart w:id="130" w:name="_Toc443378713"/>
      <w:r>
        <w:rPr>
          <w:rFonts w:hint="eastAsia" w:ascii="宋体" w:hAnsi="宋体"/>
          <w:b/>
          <w:szCs w:val="21"/>
        </w:rPr>
        <w:t>6.宜居乡村建设</w:t>
      </w:r>
      <w:r>
        <w:rPr>
          <w:rFonts w:hint="eastAsia" w:ascii="宋体" w:hAnsi="宋体"/>
          <w:szCs w:val="21"/>
        </w:rPr>
        <w:t>。按照道路硬化、亮化、净化、美化、绿化和管理优化的要求，完善农村基础设施和公共服务设施，突出文化和民族特色，全面完成剩余永久保留村屯的宜居乡村建设。</w:t>
      </w:r>
      <w:bookmarkEnd w:id="130"/>
    </w:p>
    <w:p>
      <w:pPr>
        <w:spacing w:line="320" w:lineRule="exact"/>
        <w:ind w:firstLine="472" w:firstLineChars="224"/>
        <w:outlineLvl w:val="3"/>
        <w:rPr>
          <w:rFonts w:hint="eastAsia" w:ascii="宋体" w:hAnsi="宋体"/>
          <w:szCs w:val="21"/>
        </w:rPr>
      </w:pPr>
      <w:bookmarkStart w:id="131" w:name="_Toc443378714"/>
      <w:r>
        <w:rPr>
          <w:rFonts w:hint="eastAsia" w:ascii="宋体" w:hAnsi="宋体"/>
          <w:b/>
          <w:szCs w:val="21"/>
        </w:rPr>
        <w:t>7.环境卫生管理</w:t>
      </w:r>
      <w:r>
        <w:rPr>
          <w:rFonts w:hint="eastAsia" w:ascii="宋体" w:hAnsi="宋体"/>
          <w:szCs w:val="21"/>
        </w:rPr>
        <w:t>。推进城乡环境精细化管理，全面加强农村环境和老旧小区环境维护和监管，规范和取缔马路市场。道路清扫保洁面积达到2450万平方米、增长8.2%，机械化作业率达到60%以上。新建垃圾压缩转运站8座，实现垃圾不落地清洁方式，全部取消城市街路两侧垃圾箱和垃圾点，积极推行垃圾分类管理。</w:t>
      </w:r>
      <w:bookmarkEnd w:id="131"/>
    </w:p>
    <w:p>
      <w:pPr>
        <w:spacing w:line="320" w:lineRule="exact"/>
        <w:ind w:firstLine="472" w:firstLineChars="225"/>
        <w:outlineLvl w:val="2"/>
        <w:rPr>
          <w:rFonts w:hint="eastAsia" w:ascii="宋体" w:hAnsi="宋体" w:cs="仿宋"/>
          <w:b/>
          <w:szCs w:val="21"/>
        </w:rPr>
      </w:pPr>
      <w:bookmarkStart w:id="132" w:name="_Toc443378715"/>
      <w:r>
        <w:rPr>
          <w:rFonts w:hint="eastAsia" w:ascii="宋体" w:hAnsi="宋体"/>
          <w:szCs w:val="21"/>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100965</wp:posOffset>
                </wp:positionV>
                <wp:extent cx="5257800" cy="2527935"/>
                <wp:effectExtent l="7620" t="7620" r="11430" b="17145"/>
                <wp:wrapTopAndBottom/>
                <wp:docPr id="5" name="Rectangle 8"/>
                <wp:cNvGraphicFramePr/>
                <a:graphic xmlns:a="http://schemas.openxmlformats.org/drawingml/2006/main">
                  <a:graphicData uri="http://schemas.microsoft.com/office/word/2010/wordprocessingShape">
                    <wps:wsp>
                      <wps:cNvSpPr/>
                      <wps:spPr>
                        <a:xfrm>
                          <a:off x="0" y="0"/>
                          <a:ext cx="5257800" cy="2527935"/>
                        </a:xfrm>
                        <a:prstGeom prst="rect">
                          <a:avLst/>
                        </a:prstGeom>
                        <a:noFill/>
                        <a:ln w="15875" cap="flat" cmpd="sng">
                          <a:solidFill>
                            <a:srgbClr val="000000"/>
                          </a:solidFill>
                          <a:prstDash val="solid"/>
                          <a:miter/>
                          <a:headEnd type="none" w="med" len="med"/>
                          <a:tailEnd type="none" w="med" len="med"/>
                        </a:ln>
                      </wps:spPr>
                      <wps:txbx>
                        <w:txbxContent>
                          <w:p>
                            <w:pPr>
                              <w:jc w:val="center"/>
                              <w:rPr>
                                <w:rFonts w:hint="eastAsia" w:ascii="宋体" w:hAnsi="宋体"/>
                                <w:b/>
                                <w:bCs/>
                              </w:rPr>
                            </w:pPr>
                            <w:r>
                              <w:rPr>
                                <w:rFonts w:hint="eastAsia" w:ascii="宋体" w:hAnsi="宋体"/>
                                <w:b/>
                                <w:bCs/>
                              </w:rPr>
                              <w:t>专栏8：重点基础设施项目</w:t>
                            </w:r>
                          </w:p>
                          <w:p>
                            <w:pPr>
                              <w:ind w:firstLine="358" w:firstLineChars="170"/>
                              <w:rPr>
                                <w:rFonts w:hint="eastAsia" w:ascii="宋体" w:hAnsi="宋体"/>
                              </w:rPr>
                            </w:pPr>
                            <w:r>
                              <w:rPr>
                                <w:rFonts w:hint="eastAsia" w:ascii="宋体" w:hAnsi="宋体"/>
                                <w:b/>
                              </w:rPr>
                              <w:t>1.京哈直通线新沈阳北站</w:t>
                            </w:r>
                            <w:r>
                              <w:rPr>
                                <w:rFonts w:hint="eastAsia" w:ascii="宋体" w:hAnsi="宋体"/>
                              </w:rPr>
                              <w:t>：投资67亿元，建设30.7公里高铁线路和车站、广场、候车楼及相关商业设施。</w:t>
                            </w:r>
                          </w:p>
                          <w:p>
                            <w:pPr>
                              <w:ind w:firstLine="358" w:firstLineChars="170"/>
                              <w:rPr>
                                <w:rFonts w:hint="eastAsia" w:ascii="宋体" w:hAnsi="宋体"/>
                              </w:rPr>
                            </w:pPr>
                            <w:r>
                              <w:rPr>
                                <w:rFonts w:hint="eastAsia" w:ascii="宋体" w:hAnsi="宋体"/>
                                <w:b/>
                              </w:rPr>
                              <w:t>2.地铁二号线北北线工程</w:t>
                            </w:r>
                            <w:r>
                              <w:rPr>
                                <w:rFonts w:hint="eastAsia" w:ascii="宋体" w:hAnsi="宋体"/>
                              </w:rPr>
                              <w:t>：投资94亿元，南起辽大站北至新沈阳北站，线路长15公里，设站11个。</w:t>
                            </w:r>
                          </w:p>
                          <w:p>
                            <w:pPr>
                              <w:ind w:firstLine="358" w:firstLineChars="170"/>
                              <w:rPr>
                                <w:rFonts w:hint="eastAsia" w:ascii="宋体" w:hAnsi="宋体"/>
                                <w:b/>
                              </w:rPr>
                            </w:pPr>
                            <w:r>
                              <w:rPr>
                                <w:rFonts w:hint="eastAsia" w:ascii="宋体" w:hAnsi="宋体"/>
                                <w:b/>
                              </w:rPr>
                              <w:t>3.地铁四号线北延线工程：</w:t>
                            </w:r>
                            <w:r>
                              <w:rPr>
                                <w:rFonts w:hint="eastAsia" w:ascii="宋体" w:hAnsi="宋体"/>
                              </w:rPr>
                              <w:t>投资50亿元，南起朱尔屯北到蒲河大道，线路长11公里，设站7个。</w:t>
                            </w:r>
                          </w:p>
                          <w:p>
                            <w:pPr>
                              <w:ind w:firstLine="358" w:firstLineChars="170"/>
                              <w:rPr>
                                <w:rFonts w:hint="eastAsia" w:ascii="宋体" w:hAnsi="宋体"/>
                              </w:rPr>
                            </w:pPr>
                            <w:r>
                              <w:rPr>
                                <w:rFonts w:hint="eastAsia" w:ascii="宋体" w:hAnsi="宋体"/>
                                <w:b/>
                              </w:rPr>
                              <w:t>4.辽西北水厂</w:t>
                            </w:r>
                            <w:r>
                              <w:rPr>
                                <w:rFonts w:hint="eastAsia" w:ascii="宋体" w:hAnsi="宋体"/>
                              </w:rPr>
                              <w:t>：投资6.6亿元，建设供水24万吨/日的净水厂和33公里输水管线。</w:t>
                            </w:r>
                          </w:p>
                          <w:p>
                            <w:pPr>
                              <w:ind w:firstLine="358" w:firstLineChars="170"/>
                              <w:rPr>
                                <w:rFonts w:hint="eastAsia" w:ascii="宋体" w:hAnsi="宋体"/>
                              </w:rPr>
                            </w:pPr>
                            <w:r>
                              <w:rPr>
                                <w:rFonts w:hint="eastAsia" w:ascii="宋体" w:hAnsi="宋体"/>
                                <w:b/>
                              </w:rPr>
                              <w:t>5.通用机场</w:t>
                            </w:r>
                            <w:r>
                              <w:rPr>
                                <w:rFonts w:hint="eastAsia" w:ascii="宋体" w:hAnsi="宋体"/>
                              </w:rPr>
                              <w:t>：投资5.6亿元，建设一条长1200米、宽45米跑道，配套建设综合业务指挥楼、机库、停机坪、通信、助航、供电、供水、供油等辅助设施。</w:t>
                            </w:r>
                          </w:p>
                          <w:p>
                            <w:pPr>
                              <w:ind w:firstLine="358" w:firstLineChars="170"/>
                              <w:rPr>
                                <w:rFonts w:hint="eastAsia" w:ascii="宋体" w:hAnsi="宋体"/>
                              </w:rPr>
                            </w:pPr>
                            <w:r>
                              <w:rPr>
                                <w:rFonts w:hint="eastAsia" w:ascii="宋体" w:hAnsi="宋体"/>
                                <w:b/>
                              </w:rPr>
                              <w:t>6.轨道交通11号线</w:t>
                            </w:r>
                            <w:r>
                              <w:rPr>
                                <w:rFonts w:hint="eastAsia" w:ascii="宋体" w:hAnsi="宋体"/>
                              </w:rPr>
                              <w:t>：投资100亿元，建设由道义北大街到辉山天时街26公里高架轨道交通线路。</w:t>
                            </w:r>
                          </w:p>
                          <w:p/>
                        </w:txbxContent>
                      </wps:txbx>
                      <wps:bodyPr wrap="square" upright="1"/>
                    </wps:wsp>
                  </a:graphicData>
                </a:graphic>
              </wp:anchor>
            </w:drawing>
          </mc:Choice>
          <mc:Fallback>
            <w:pict>
              <v:rect id="Rectangle 8" o:spid="_x0000_s1026" o:spt="1" style="position:absolute;left:0pt;margin-top:7.95pt;height:199.05pt;width:414pt;mso-position-horizontal:center;mso-wrap-distance-bottom:0pt;mso-wrap-distance-top:0pt;z-index:251663360;mso-width-relative:page;mso-height-relative:page;" filled="f" stroked="t" coordsize="21600,21600" o:gfxdata="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75B8NcAAAAHAQAADwAAAAAAAAABACAAAAAiAAAAZHJzL2Rvd25yZXYu&#10;eG1sUEsBAhQAFAAAAAgAh07iQHO1Yfj8AQAAEwQAAA4AAAAAAAAAAQAgAAAAJgEAAGRycy9lMm9E&#10;b2MueG1sUEsFBgAAAAAGAAYAWQEAAJQFAAAAAA==&#10;">
                <v:fill on="f" focussize="0,0"/>
                <v:stroke weight="1.25pt" color="#000000" joinstyle="miter"/>
                <v:imagedata o:title=""/>
                <o:lock v:ext="edit" aspectratio="f"/>
                <v:textbox>
                  <w:txbxContent>
                    <w:p>
                      <w:pPr>
                        <w:jc w:val="center"/>
                        <w:rPr>
                          <w:rFonts w:hint="eastAsia" w:ascii="宋体" w:hAnsi="宋体"/>
                          <w:b/>
                          <w:bCs/>
                        </w:rPr>
                      </w:pPr>
                      <w:r>
                        <w:rPr>
                          <w:rFonts w:hint="eastAsia" w:ascii="宋体" w:hAnsi="宋体"/>
                          <w:b/>
                          <w:bCs/>
                        </w:rPr>
                        <w:t>专栏8：重点基础设施项目</w:t>
                      </w:r>
                    </w:p>
                    <w:p>
                      <w:pPr>
                        <w:ind w:firstLine="358" w:firstLineChars="170"/>
                        <w:rPr>
                          <w:rFonts w:hint="eastAsia" w:ascii="宋体" w:hAnsi="宋体"/>
                        </w:rPr>
                      </w:pPr>
                      <w:r>
                        <w:rPr>
                          <w:rFonts w:hint="eastAsia" w:ascii="宋体" w:hAnsi="宋体"/>
                          <w:b/>
                        </w:rPr>
                        <w:t>1.京哈直通线新沈阳北站</w:t>
                      </w:r>
                      <w:r>
                        <w:rPr>
                          <w:rFonts w:hint="eastAsia" w:ascii="宋体" w:hAnsi="宋体"/>
                        </w:rPr>
                        <w:t>：投资67亿元，建设30.7公里高铁线路和车站、广场、候车楼及相关商业设施。</w:t>
                      </w:r>
                    </w:p>
                    <w:p>
                      <w:pPr>
                        <w:ind w:firstLine="358" w:firstLineChars="170"/>
                        <w:rPr>
                          <w:rFonts w:hint="eastAsia" w:ascii="宋体" w:hAnsi="宋体"/>
                        </w:rPr>
                      </w:pPr>
                      <w:r>
                        <w:rPr>
                          <w:rFonts w:hint="eastAsia" w:ascii="宋体" w:hAnsi="宋体"/>
                          <w:b/>
                        </w:rPr>
                        <w:t>2.地铁二号线北北线工程</w:t>
                      </w:r>
                      <w:r>
                        <w:rPr>
                          <w:rFonts w:hint="eastAsia" w:ascii="宋体" w:hAnsi="宋体"/>
                        </w:rPr>
                        <w:t>：投资94亿元，南起辽大站北至新沈阳北站，线路长15公里，设站11个。</w:t>
                      </w:r>
                    </w:p>
                    <w:p>
                      <w:pPr>
                        <w:ind w:firstLine="358" w:firstLineChars="170"/>
                        <w:rPr>
                          <w:rFonts w:hint="eastAsia" w:ascii="宋体" w:hAnsi="宋体"/>
                          <w:b/>
                        </w:rPr>
                      </w:pPr>
                      <w:r>
                        <w:rPr>
                          <w:rFonts w:hint="eastAsia" w:ascii="宋体" w:hAnsi="宋体"/>
                          <w:b/>
                        </w:rPr>
                        <w:t>3.地铁四号线北延线工程：</w:t>
                      </w:r>
                      <w:r>
                        <w:rPr>
                          <w:rFonts w:hint="eastAsia" w:ascii="宋体" w:hAnsi="宋体"/>
                        </w:rPr>
                        <w:t>投资50亿元，南起朱尔屯北到蒲河大道，线路长11公里，设站7个。</w:t>
                      </w:r>
                    </w:p>
                    <w:p>
                      <w:pPr>
                        <w:ind w:firstLine="358" w:firstLineChars="170"/>
                        <w:rPr>
                          <w:rFonts w:hint="eastAsia" w:ascii="宋体" w:hAnsi="宋体"/>
                        </w:rPr>
                      </w:pPr>
                      <w:r>
                        <w:rPr>
                          <w:rFonts w:hint="eastAsia" w:ascii="宋体" w:hAnsi="宋体"/>
                          <w:b/>
                        </w:rPr>
                        <w:t>4.辽西北水厂</w:t>
                      </w:r>
                      <w:r>
                        <w:rPr>
                          <w:rFonts w:hint="eastAsia" w:ascii="宋体" w:hAnsi="宋体"/>
                        </w:rPr>
                        <w:t>：投资6.6亿元，建设供水24万吨/日的净水厂和33公里输水管线。</w:t>
                      </w:r>
                    </w:p>
                    <w:p>
                      <w:pPr>
                        <w:ind w:firstLine="358" w:firstLineChars="170"/>
                        <w:rPr>
                          <w:rFonts w:hint="eastAsia" w:ascii="宋体" w:hAnsi="宋体"/>
                        </w:rPr>
                      </w:pPr>
                      <w:r>
                        <w:rPr>
                          <w:rFonts w:hint="eastAsia" w:ascii="宋体" w:hAnsi="宋体"/>
                          <w:b/>
                        </w:rPr>
                        <w:t>5.通用机场</w:t>
                      </w:r>
                      <w:r>
                        <w:rPr>
                          <w:rFonts w:hint="eastAsia" w:ascii="宋体" w:hAnsi="宋体"/>
                        </w:rPr>
                        <w:t>：投资5.6亿元，建设一条长1200米、宽45米跑道，配套建设综合业务指挥楼、机库、停机坪、通信、助航、供电、供水、供油等辅助设施。</w:t>
                      </w:r>
                    </w:p>
                    <w:p>
                      <w:pPr>
                        <w:ind w:firstLine="358" w:firstLineChars="170"/>
                        <w:rPr>
                          <w:rFonts w:hint="eastAsia" w:ascii="宋体" w:hAnsi="宋体"/>
                        </w:rPr>
                      </w:pPr>
                      <w:r>
                        <w:rPr>
                          <w:rFonts w:hint="eastAsia" w:ascii="宋体" w:hAnsi="宋体"/>
                          <w:b/>
                        </w:rPr>
                        <w:t>6.轨道交通11号线</w:t>
                      </w:r>
                      <w:r>
                        <w:rPr>
                          <w:rFonts w:hint="eastAsia" w:ascii="宋体" w:hAnsi="宋体"/>
                        </w:rPr>
                        <w:t>：投资100亿元，建设由道义北大街到辉山天时街26公里高架轨道交通线路。</w:t>
                      </w:r>
                    </w:p>
                    <w:p/>
                  </w:txbxContent>
                </v:textbox>
                <w10:wrap type="topAndBottom"/>
              </v:rect>
            </w:pict>
          </mc:Fallback>
        </mc:AlternateContent>
      </w:r>
      <w:r>
        <w:rPr>
          <w:rFonts w:hint="eastAsia" w:ascii="宋体" w:hAnsi="宋体" w:cs="仿宋"/>
          <w:b/>
          <w:szCs w:val="21"/>
        </w:rPr>
        <w:t>二、公共服务一体化</w:t>
      </w:r>
      <w:bookmarkEnd w:id="132"/>
    </w:p>
    <w:p>
      <w:pPr>
        <w:spacing w:line="320" w:lineRule="exact"/>
        <w:ind w:firstLine="470" w:firstLineChars="224"/>
        <w:outlineLvl w:val="3"/>
        <w:rPr>
          <w:rFonts w:hint="eastAsia" w:ascii="宋体" w:hAnsi="宋体"/>
          <w:szCs w:val="21"/>
        </w:rPr>
      </w:pPr>
      <w:bookmarkStart w:id="133" w:name="_Toc435623762"/>
      <w:bookmarkStart w:id="134" w:name="_Toc443378716"/>
      <w:bookmarkStart w:id="135" w:name="_Toc435021383"/>
      <w:bookmarkStart w:id="136" w:name="_Toc436295591"/>
      <w:r>
        <w:rPr>
          <w:rFonts w:hint="eastAsia" w:ascii="宋体" w:hAnsi="宋体"/>
          <w:szCs w:val="21"/>
        </w:rPr>
        <w:t>加强农村公共服务设施建设，强化农村政务服务，完善农村卫生服务体系，丰富农村文化生活，鼓励农村子女到城市学校就学，除民族特色学校外逐步取消农村中小学。</w:t>
      </w:r>
      <w:bookmarkEnd w:id="133"/>
      <w:bookmarkEnd w:id="134"/>
      <w:bookmarkEnd w:id="135"/>
      <w:bookmarkEnd w:id="136"/>
    </w:p>
    <w:p>
      <w:pPr>
        <w:spacing w:line="320" w:lineRule="exact"/>
        <w:ind w:firstLine="474" w:firstLineChars="225"/>
        <w:outlineLvl w:val="2"/>
        <w:rPr>
          <w:rFonts w:hint="eastAsia" w:ascii="宋体" w:hAnsi="宋体" w:cs="仿宋"/>
          <w:b/>
          <w:szCs w:val="21"/>
        </w:rPr>
      </w:pPr>
      <w:bookmarkStart w:id="137" w:name="_Toc443378717"/>
      <w:r>
        <w:rPr>
          <w:rFonts w:hint="eastAsia" w:ascii="宋体" w:hAnsi="宋体" w:cs="仿宋"/>
          <w:b/>
          <w:szCs w:val="21"/>
        </w:rPr>
        <w:t>三、社会保障一体化</w:t>
      </w:r>
      <w:bookmarkEnd w:id="137"/>
    </w:p>
    <w:p>
      <w:pPr>
        <w:spacing w:line="320" w:lineRule="exact"/>
        <w:ind w:firstLine="470" w:firstLineChars="224"/>
        <w:outlineLvl w:val="3"/>
        <w:rPr>
          <w:rFonts w:hint="eastAsia" w:ascii="宋体" w:hAnsi="宋体"/>
          <w:szCs w:val="21"/>
        </w:rPr>
      </w:pPr>
      <w:bookmarkStart w:id="138" w:name="_Toc436295593"/>
      <w:bookmarkStart w:id="139" w:name="_Toc435623764"/>
      <w:bookmarkStart w:id="140" w:name="_Toc443378718"/>
      <w:bookmarkStart w:id="141" w:name="_Toc435021385"/>
      <w:r>
        <w:rPr>
          <w:rFonts w:hint="eastAsia" w:ascii="宋体" w:hAnsi="宋体"/>
          <w:szCs w:val="21"/>
        </w:rPr>
        <w:t>缩小城乡社会保障差别，逐步推进城乡养老、医疗等方面保险、保障并轨，引导和鼓励失地农民入保障、保险，对城乡困难群体救助实行统一标准。</w:t>
      </w:r>
      <w:bookmarkEnd w:id="138"/>
      <w:bookmarkEnd w:id="139"/>
      <w:bookmarkEnd w:id="140"/>
      <w:bookmarkEnd w:id="141"/>
    </w:p>
    <w:p>
      <w:pPr>
        <w:spacing w:line="320" w:lineRule="exact"/>
        <w:jc w:val="center"/>
        <w:outlineLvl w:val="1"/>
        <w:rPr>
          <w:rFonts w:hint="eastAsia" w:ascii="宋体" w:hAnsi="宋体" w:cs="黑体"/>
          <w:szCs w:val="21"/>
        </w:rPr>
      </w:pPr>
      <w:bookmarkStart w:id="142" w:name="_Toc443378719"/>
      <w:r>
        <w:rPr>
          <w:rFonts w:hint="eastAsia" w:ascii="宋体" w:hAnsi="宋体" w:cs="黑体"/>
          <w:szCs w:val="21"/>
        </w:rPr>
        <w:t>第七节 加强环境建设，打造美丽沈北</w:t>
      </w:r>
      <w:bookmarkEnd w:id="142"/>
    </w:p>
    <w:p>
      <w:pPr>
        <w:spacing w:line="320" w:lineRule="exact"/>
        <w:ind w:firstLine="474" w:firstLineChars="225"/>
        <w:outlineLvl w:val="2"/>
        <w:rPr>
          <w:rFonts w:hint="eastAsia" w:ascii="宋体" w:hAnsi="宋体" w:cs="仿宋"/>
          <w:b/>
          <w:szCs w:val="21"/>
        </w:rPr>
      </w:pPr>
      <w:bookmarkStart w:id="143" w:name="_Toc443378720"/>
      <w:r>
        <w:rPr>
          <w:rFonts w:hint="eastAsia" w:ascii="宋体" w:hAnsi="宋体" w:cs="仿宋"/>
          <w:b/>
          <w:szCs w:val="21"/>
        </w:rPr>
        <w:t>一、严格环保要求</w:t>
      </w:r>
      <w:bookmarkEnd w:id="143"/>
    </w:p>
    <w:p>
      <w:pPr>
        <w:spacing w:line="320" w:lineRule="exact"/>
        <w:ind w:firstLine="470" w:firstLineChars="224"/>
        <w:outlineLvl w:val="3"/>
        <w:rPr>
          <w:rFonts w:hint="eastAsia" w:ascii="宋体" w:hAnsi="宋体"/>
          <w:szCs w:val="21"/>
        </w:rPr>
      </w:pPr>
      <w:bookmarkStart w:id="144" w:name="_Toc435021388"/>
      <w:bookmarkStart w:id="145" w:name="_Toc436295596"/>
      <w:bookmarkStart w:id="146" w:name="_Toc435623767"/>
      <w:bookmarkStart w:id="147" w:name="_Toc443378721"/>
      <w:r>
        <w:rPr>
          <w:rFonts w:hint="eastAsia" w:ascii="宋体" w:hAnsi="宋体"/>
          <w:szCs w:val="21"/>
        </w:rPr>
        <w:t>严格禁止污染项目落户沈北，加强环境监测和管理，逐步淘汰、改造污染企业</w:t>
      </w:r>
      <w:bookmarkEnd w:id="144"/>
      <w:bookmarkEnd w:id="145"/>
      <w:bookmarkEnd w:id="146"/>
      <w:r>
        <w:rPr>
          <w:rFonts w:hint="eastAsia" w:ascii="宋体" w:hAnsi="宋体"/>
          <w:szCs w:val="21"/>
        </w:rPr>
        <w:t>。</w:t>
      </w:r>
      <w:bookmarkEnd w:id="147"/>
    </w:p>
    <w:p>
      <w:pPr>
        <w:spacing w:line="320" w:lineRule="exact"/>
        <w:ind w:firstLine="474" w:firstLineChars="225"/>
        <w:outlineLvl w:val="2"/>
        <w:rPr>
          <w:rFonts w:hint="eastAsia" w:ascii="宋体" w:hAnsi="宋体" w:cs="仿宋"/>
          <w:b/>
          <w:szCs w:val="21"/>
        </w:rPr>
      </w:pPr>
      <w:bookmarkStart w:id="148" w:name="_Toc443378722"/>
      <w:r>
        <w:rPr>
          <w:rFonts w:hint="eastAsia" w:ascii="宋体" w:hAnsi="宋体" w:cs="仿宋"/>
          <w:b/>
          <w:szCs w:val="21"/>
        </w:rPr>
        <w:t>二、供暖设施改造</w:t>
      </w:r>
      <w:bookmarkEnd w:id="148"/>
    </w:p>
    <w:p>
      <w:pPr>
        <w:spacing w:line="320" w:lineRule="exact"/>
        <w:ind w:firstLine="470" w:firstLineChars="224"/>
        <w:outlineLvl w:val="3"/>
        <w:rPr>
          <w:rFonts w:hint="eastAsia" w:ascii="宋体" w:hAnsi="宋体"/>
          <w:szCs w:val="21"/>
        </w:rPr>
      </w:pPr>
      <w:bookmarkStart w:id="149" w:name="_Toc436295598"/>
      <w:bookmarkStart w:id="150" w:name="_Toc443378723"/>
      <w:bookmarkStart w:id="151" w:name="_Toc435021390"/>
      <w:bookmarkStart w:id="152" w:name="_Toc435623769"/>
      <w:r>
        <w:rPr>
          <w:rFonts w:hint="eastAsia" w:ascii="宋体" w:hAnsi="宋体"/>
          <w:szCs w:val="21"/>
        </w:rPr>
        <w:t>构建以大型热电联产和大型集中热源为主、清洁能源供热为辅的供热格局。到2020年，将具备拆除联网条件的单台容量40t/h及以下的燃煤锅炉房全部实施拆除联网改造，热电联产、大型热源厂与清洁能源供热面积比例为4.5:89.5:6.0。</w:t>
      </w:r>
      <w:bookmarkEnd w:id="149"/>
      <w:bookmarkEnd w:id="150"/>
      <w:bookmarkEnd w:id="151"/>
      <w:bookmarkEnd w:id="152"/>
    </w:p>
    <w:p>
      <w:pPr>
        <w:spacing w:line="320" w:lineRule="exact"/>
        <w:ind w:firstLine="474" w:firstLineChars="225"/>
        <w:outlineLvl w:val="2"/>
        <w:rPr>
          <w:rFonts w:hint="eastAsia" w:ascii="宋体" w:hAnsi="宋体" w:cs="仿宋"/>
          <w:b/>
          <w:szCs w:val="21"/>
        </w:rPr>
      </w:pPr>
      <w:bookmarkStart w:id="153" w:name="_Toc443378724"/>
      <w:r>
        <w:rPr>
          <w:rFonts w:hint="eastAsia" w:ascii="宋体" w:hAnsi="宋体" w:cs="仿宋"/>
          <w:b/>
          <w:szCs w:val="21"/>
        </w:rPr>
        <w:t>三、污水设施建设</w:t>
      </w:r>
      <w:bookmarkEnd w:id="153"/>
    </w:p>
    <w:p>
      <w:pPr>
        <w:spacing w:line="320" w:lineRule="exact"/>
        <w:ind w:firstLine="470" w:firstLineChars="224"/>
        <w:outlineLvl w:val="3"/>
        <w:rPr>
          <w:rFonts w:hint="eastAsia" w:ascii="宋体" w:hAnsi="宋体"/>
          <w:szCs w:val="21"/>
        </w:rPr>
      </w:pPr>
      <w:bookmarkStart w:id="154" w:name="_Toc435623771"/>
      <w:bookmarkStart w:id="155" w:name="_Toc443378725"/>
      <w:bookmarkStart w:id="156" w:name="_Toc436295600"/>
      <w:bookmarkStart w:id="157" w:name="_Toc435021392"/>
      <w:r>
        <w:rPr>
          <w:rFonts w:hint="eastAsia" w:ascii="宋体" w:hAnsi="宋体"/>
          <w:szCs w:val="21"/>
        </w:rPr>
        <w:t>扩建新城子污水处理厂，增加1.5万吨/日污水处理能力。新建清水污水处理厂，新增1万吨/日污水处理能力。大力推进雨污分流，显著提高污水处理率。</w:t>
      </w:r>
      <w:bookmarkEnd w:id="154"/>
      <w:bookmarkEnd w:id="155"/>
      <w:bookmarkEnd w:id="156"/>
      <w:bookmarkEnd w:id="157"/>
    </w:p>
    <w:p>
      <w:pPr>
        <w:spacing w:line="320" w:lineRule="exact"/>
        <w:ind w:firstLine="474" w:firstLineChars="225"/>
        <w:outlineLvl w:val="2"/>
        <w:rPr>
          <w:rFonts w:hint="eastAsia" w:ascii="宋体" w:hAnsi="宋体" w:cs="仿宋"/>
          <w:b/>
          <w:szCs w:val="21"/>
        </w:rPr>
      </w:pPr>
      <w:bookmarkStart w:id="158" w:name="_Toc443378726"/>
      <w:r>
        <w:rPr>
          <w:rFonts w:hint="eastAsia" w:ascii="宋体" w:hAnsi="宋体" w:cs="仿宋"/>
          <w:b/>
          <w:szCs w:val="21"/>
        </w:rPr>
        <w:t>四、中小河流整治</w:t>
      </w:r>
      <w:bookmarkEnd w:id="158"/>
    </w:p>
    <w:p>
      <w:pPr>
        <w:spacing w:line="320" w:lineRule="exact"/>
        <w:ind w:firstLine="470" w:firstLineChars="224"/>
        <w:outlineLvl w:val="3"/>
        <w:rPr>
          <w:rFonts w:hint="eastAsia" w:ascii="宋体" w:hAnsi="宋体"/>
          <w:szCs w:val="21"/>
        </w:rPr>
      </w:pPr>
      <w:bookmarkStart w:id="159" w:name="_Toc435021394"/>
      <w:bookmarkStart w:id="160" w:name="_Toc436295602"/>
      <w:bookmarkStart w:id="161" w:name="_Toc435623773"/>
      <w:bookmarkStart w:id="162" w:name="_Toc443378727"/>
      <w:r>
        <w:rPr>
          <w:rFonts w:hint="eastAsia" w:ascii="宋体" w:hAnsi="宋体"/>
          <w:szCs w:val="21"/>
        </w:rPr>
        <w:t>按照美化、绿化、净化和安全的原则，对万泉河、九龙河、羊肠河、长河、南小河、左小河实施综合治理，优化城乡公共环境。</w:t>
      </w:r>
      <w:bookmarkEnd w:id="159"/>
      <w:bookmarkEnd w:id="160"/>
      <w:bookmarkEnd w:id="161"/>
      <w:bookmarkEnd w:id="162"/>
    </w:p>
    <w:p>
      <w:pPr>
        <w:spacing w:line="320" w:lineRule="exact"/>
        <w:ind w:firstLine="474" w:firstLineChars="225"/>
        <w:outlineLvl w:val="2"/>
        <w:rPr>
          <w:rFonts w:hint="eastAsia" w:ascii="宋体" w:hAnsi="宋体" w:cs="仿宋"/>
          <w:b/>
          <w:szCs w:val="21"/>
        </w:rPr>
      </w:pPr>
      <w:bookmarkStart w:id="163" w:name="_Toc443378728"/>
      <w:r>
        <w:rPr>
          <w:rFonts w:hint="eastAsia" w:ascii="宋体" w:hAnsi="宋体" w:cs="仿宋"/>
          <w:b/>
          <w:szCs w:val="21"/>
        </w:rPr>
        <w:t>五、实施绿化工程</w:t>
      </w:r>
      <w:bookmarkEnd w:id="163"/>
    </w:p>
    <w:p>
      <w:pPr>
        <w:spacing w:line="320" w:lineRule="exact"/>
        <w:ind w:firstLine="470" w:firstLineChars="224"/>
        <w:outlineLvl w:val="3"/>
        <w:rPr>
          <w:rFonts w:hint="eastAsia" w:ascii="宋体" w:hAnsi="宋体"/>
          <w:szCs w:val="21"/>
        </w:rPr>
      </w:pPr>
      <w:bookmarkStart w:id="164" w:name="_Toc435021396"/>
      <w:bookmarkStart w:id="165" w:name="_Toc436295604"/>
      <w:bookmarkStart w:id="166" w:name="_Toc443378729"/>
      <w:bookmarkStart w:id="167" w:name="_Toc435623775"/>
      <w:r>
        <w:rPr>
          <w:rFonts w:hint="eastAsia" w:ascii="宋体" w:hAnsi="宋体"/>
          <w:szCs w:val="21"/>
        </w:rPr>
        <w:t>投资2.4亿元实施绿化景观工程41项，新增园林绿地183.5公顷，公园绿地33.5公顷。</w:t>
      </w:r>
      <w:bookmarkEnd w:id="164"/>
      <w:bookmarkEnd w:id="165"/>
      <w:bookmarkEnd w:id="166"/>
      <w:bookmarkEnd w:id="167"/>
    </w:p>
    <w:p>
      <w:pPr>
        <w:spacing w:line="320" w:lineRule="exact"/>
        <w:ind w:firstLine="474" w:firstLineChars="225"/>
        <w:outlineLvl w:val="2"/>
        <w:rPr>
          <w:rFonts w:hint="eastAsia" w:ascii="宋体" w:hAnsi="宋体" w:cs="仿宋"/>
          <w:b/>
          <w:szCs w:val="21"/>
        </w:rPr>
      </w:pPr>
      <w:bookmarkStart w:id="168" w:name="_Toc443378730"/>
      <w:r>
        <w:rPr>
          <w:rFonts w:hint="eastAsia" w:ascii="宋体" w:hAnsi="宋体" w:cs="仿宋"/>
          <w:b/>
          <w:szCs w:val="21"/>
        </w:rPr>
        <w:t>六、发展循环经济</w:t>
      </w:r>
      <w:bookmarkEnd w:id="168"/>
    </w:p>
    <w:p>
      <w:pPr>
        <w:spacing w:line="320" w:lineRule="exact"/>
        <w:ind w:firstLine="470" w:firstLineChars="224"/>
        <w:outlineLvl w:val="3"/>
        <w:rPr>
          <w:rFonts w:hint="eastAsia" w:ascii="宋体" w:hAnsi="宋体"/>
          <w:szCs w:val="21"/>
        </w:rPr>
      </w:pPr>
      <w:bookmarkStart w:id="169" w:name="_Toc435021398"/>
      <w:bookmarkStart w:id="170" w:name="_Toc436295606"/>
      <w:bookmarkStart w:id="171" w:name="_Toc443378731"/>
      <w:bookmarkStart w:id="172" w:name="_Toc435623777"/>
      <w:r>
        <w:rPr>
          <w:rFonts w:hint="eastAsia" w:ascii="宋体" w:hAnsi="宋体"/>
          <w:szCs w:val="21"/>
        </w:rPr>
        <w:t>强化节能减排，发展循环经济，提高资源利用率</w:t>
      </w:r>
      <w:bookmarkEnd w:id="169"/>
      <w:r>
        <w:rPr>
          <w:rFonts w:hint="eastAsia" w:ascii="宋体" w:hAnsi="宋体"/>
          <w:szCs w:val="21"/>
        </w:rPr>
        <w:t>。实现</w:t>
      </w:r>
      <w:r>
        <w:rPr>
          <w:rFonts w:hint="eastAsia" w:ascii="宋体" w:hAnsi="宋体"/>
          <w:szCs w:val="21"/>
          <w:lang w:eastAsia="zh-CN"/>
        </w:rPr>
        <w:t>秸秆</w:t>
      </w:r>
      <w:r>
        <w:rPr>
          <w:rFonts w:hint="eastAsia" w:ascii="宋体" w:hAnsi="宋体"/>
          <w:szCs w:val="21"/>
        </w:rPr>
        <w:t>回收综合利用。</w:t>
      </w:r>
      <w:bookmarkEnd w:id="170"/>
      <w:bookmarkEnd w:id="171"/>
      <w:bookmarkEnd w:id="172"/>
    </w:p>
    <w:p>
      <w:pPr>
        <w:spacing w:line="320" w:lineRule="exact"/>
        <w:rPr>
          <w:rFonts w:hint="eastAsia" w:ascii="宋体" w:hAnsi="宋体" w:cs="仿宋"/>
          <w:szCs w:val="21"/>
        </w:rPr>
      </w:pPr>
      <w:r>
        <w:rPr>
          <w:rFonts w:hint="eastAsia" w:ascii="宋体" w:hAnsi="宋体" w:cs="仿宋"/>
          <w:szCs w:val="21"/>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46990</wp:posOffset>
                </wp:positionV>
                <wp:extent cx="5257800" cy="1913255"/>
                <wp:effectExtent l="7620" t="7620" r="11430" b="22225"/>
                <wp:wrapTopAndBottom/>
                <wp:docPr id="1" name="Rectangle 9"/>
                <wp:cNvGraphicFramePr/>
                <a:graphic xmlns:a="http://schemas.openxmlformats.org/drawingml/2006/main">
                  <a:graphicData uri="http://schemas.microsoft.com/office/word/2010/wordprocessingShape">
                    <wps:wsp>
                      <wps:cNvSpPr/>
                      <wps:spPr>
                        <a:xfrm>
                          <a:off x="0" y="0"/>
                          <a:ext cx="5257800" cy="1913255"/>
                        </a:xfrm>
                        <a:prstGeom prst="rect">
                          <a:avLst/>
                        </a:prstGeom>
                        <a:noFill/>
                        <a:ln w="15875" cap="flat" cmpd="sng">
                          <a:solidFill>
                            <a:srgbClr val="000000"/>
                          </a:solidFill>
                          <a:prstDash val="solid"/>
                          <a:miter/>
                          <a:headEnd type="none" w="med" len="med"/>
                          <a:tailEnd type="none" w="med" len="med"/>
                        </a:ln>
                      </wps:spPr>
                      <wps:txbx>
                        <w:txbxContent>
                          <w:p>
                            <w:pPr>
                              <w:jc w:val="center"/>
                              <w:rPr>
                                <w:rFonts w:hint="eastAsia" w:ascii="宋体" w:hAnsi="宋体"/>
                                <w:b/>
                                <w:bCs/>
                              </w:rPr>
                            </w:pPr>
                            <w:r>
                              <w:rPr>
                                <w:rFonts w:hint="eastAsia" w:ascii="宋体" w:hAnsi="宋体"/>
                                <w:b/>
                                <w:bCs/>
                              </w:rPr>
                              <w:t>专栏9：重点生态环境工程</w:t>
                            </w:r>
                          </w:p>
                          <w:p>
                            <w:pPr>
                              <w:ind w:firstLine="358" w:firstLineChars="170"/>
                              <w:rPr>
                                <w:rFonts w:hint="eastAsia" w:ascii="宋体" w:hAnsi="宋体"/>
                                <w:bCs/>
                              </w:rPr>
                            </w:pPr>
                            <w:r>
                              <w:rPr>
                                <w:rFonts w:hint="eastAsia" w:ascii="宋体" w:hAnsi="宋体"/>
                                <w:b/>
                                <w:bCs/>
                              </w:rPr>
                              <w:t>1.大辛生活垃圾焚烧发电厂：</w:t>
                            </w:r>
                            <w:r>
                              <w:rPr>
                                <w:rFonts w:hint="eastAsia" w:ascii="宋体" w:hAnsi="宋体"/>
                                <w:bCs/>
                              </w:rPr>
                              <w:t>投资14.5亿元，建设3000吨/日处理能力的生活垃圾焚烧发电厂。</w:t>
                            </w:r>
                          </w:p>
                          <w:p>
                            <w:pPr>
                              <w:ind w:firstLine="358" w:firstLineChars="170"/>
                              <w:rPr>
                                <w:rFonts w:hint="eastAsia" w:ascii="宋体" w:hAnsi="宋体"/>
                                <w:b/>
                                <w:bCs/>
                              </w:rPr>
                            </w:pPr>
                            <w:r>
                              <w:rPr>
                                <w:rFonts w:hint="eastAsia" w:ascii="宋体" w:hAnsi="宋体"/>
                                <w:b/>
                                <w:bCs/>
                              </w:rPr>
                              <w:t>2.中小河道整治工程：</w:t>
                            </w:r>
                            <w:r>
                              <w:rPr>
                                <w:rFonts w:hint="eastAsia" w:ascii="宋体" w:hAnsi="宋体"/>
                                <w:bCs/>
                              </w:rPr>
                              <w:t>投资1.75亿元，综合治理万泉河、九龙河、羊肠河、长河、南小河、左小河。</w:t>
                            </w:r>
                          </w:p>
                          <w:p>
                            <w:pPr>
                              <w:ind w:firstLine="358" w:firstLineChars="170"/>
                              <w:rPr>
                                <w:rFonts w:hint="eastAsia" w:ascii="宋体" w:hAnsi="宋体"/>
                                <w:bCs/>
                              </w:rPr>
                            </w:pPr>
                            <w:r>
                              <w:rPr>
                                <w:rFonts w:hint="eastAsia" w:ascii="宋体" w:hAnsi="宋体"/>
                                <w:b/>
                                <w:bCs/>
                              </w:rPr>
                              <w:t>3.新城子污水处理厂扩建工程：</w:t>
                            </w:r>
                            <w:r>
                              <w:rPr>
                                <w:rFonts w:hint="eastAsia" w:ascii="宋体" w:hAnsi="宋体"/>
                                <w:bCs/>
                              </w:rPr>
                              <w:t>投资4000万元，扩建面积20亩，增加1.5万吨/日污水处理能力。</w:t>
                            </w:r>
                          </w:p>
                          <w:p>
                            <w:pPr>
                              <w:ind w:firstLine="358" w:firstLineChars="170"/>
                              <w:rPr>
                                <w:rFonts w:ascii="宋体" w:hAnsi="宋体" w:cs="宋体"/>
                                <w:bCs/>
                                <w:sz w:val="24"/>
                              </w:rPr>
                            </w:pPr>
                            <w:r>
                              <w:rPr>
                                <w:rFonts w:hint="eastAsia" w:ascii="宋体" w:hAnsi="宋体"/>
                                <w:b/>
                                <w:bCs/>
                              </w:rPr>
                              <w:t>4.清水污水处理厂：</w:t>
                            </w:r>
                            <w:r>
                              <w:rPr>
                                <w:rFonts w:hint="eastAsia" w:ascii="宋体" w:hAnsi="宋体"/>
                                <w:bCs/>
                              </w:rPr>
                              <w:t>投资4725万元，建设占地面积30亩，新增1万吨/日的污水处理能力。</w:t>
                            </w:r>
                          </w:p>
                          <w:p/>
                        </w:txbxContent>
                      </wps:txbx>
                      <wps:bodyPr wrap="square" upright="1"/>
                    </wps:wsp>
                  </a:graphicData>
                </a:graphic>
              </wp:anchor>
            </w:drawing>
          </mc:Choice>
          <mc:Fallback>
            <w:pict>
              <v:rect id="Rectangle 9" o:spid="_x0000_s1026" o:spt="1" style="position:absolute;left:0pt;margin-top:3.7pt;height:150.65pt;width:414pt;mso-position-horizontal:center;mso-wrap-distance-bottom:0pt;mso-wrap-distance-top:0pt;z-index:251659264;mso-width-relative:page;mso-height-relative:page;" filled="f" stroked="t" coordsize="21600,21600" o:gfxdata="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9aISr1gAAAAYBAAAPAAAAAAAAAAEAIAAAACIAAABkcnMvZG93bnJldi54&#10;bWxQSwECFAAUAAAACACHTuJAdPywV/wBAAATBAAADgAAAAAAAAABACAAAAAlAQAAZHJzL2Uyb0Rv&#10;Yy54bWxQSwUGAAAAAAYABgBZAQAAkwUAAAAA&#10;">
                <v:fill on="f" focussize="0,0"/>
                <v:stroke weight="1.25pt" color="#000000" joinstyle="miter"/>
                <v:imagedata o:title=""/>
                <o:lock v:ext="edit" aspectratio="f"/>
                <v:textbox>
                  <w:txbxContent>
                    <w:p>
                      <w:pPr>
                        <w:jc w:val="center"/>
                        <w:rPr>
                          <w:rFonts w:hint="eastAsia" w:ascii="宋体" w:hAnsi="宋体"/>
                          <w:b/>
                          <w:bCs/>
                        </w:rPr>
                      </w:pPr>
                      <w:r>
                        <w:rPr>
                          <w:rFonts w:hint="eastAsia" w:ascii="宋体" w:hAnsi="宋体"/>
                          <w:b/>
                          <w:bCs/>
                        </w:rPr>
                        <w:t>专栏9：重点生态环境工程</w:t>
                      </w:r>
                    </w:p>
                    <w:p>
                      <w:pPr>
                        <w:ind w:firstLine="358" w:firstLineChars="170"/>
                        <w:rPr>
                          <w:rFonts w:hint="eastAsia" w:ascii="宋体" w:hAnsi="宋体"/>
                          <w:bCs/>
                        </w:rPr>
                      </w:pPr>
                      <w:r>
                        <w:rPr>
                          <w:rFonts w:hint="eastAsia" w:ascii="宋体" w:hAnsi="宋体"/>
                          <w:b/>
                          <w:bCs/>
                        </w:rPr>
                        <w:t>1.大辛生活垃圾焚烧发电厂：</w:t>
                      </w:r>
                      <w:r>
                        <w:rPr>
                          <w:rFonts w:hint="eastAsia" w:ascii="宋体" w:hAnsi="宋体"/>
                          <w:bCs/>
                        </w:rPr>
                        <w:t>投资14.5亿元，建设3000吨/日处理能力的生活垃圾焚烧发电厂。</w:t>
                      </w:r>
                    </w:p>
                    <w:p>
                      <w:pPr>
                        <w:ind w:firstLine="358" w:firstLineChars="170"/>
                        <w:rPr>
                          <w:rFonts w:hint="eastAsia" w:ascii="宋体" w:hAnsi="宋体"/>
                          <w:b/>
                          <w:bCs/>
                        </w:rPr>
                      </w:pPr>
                      <w:r>
                        <w:rPr>
                          <w:rFonts w:hint="eastAsia" w:ascii="宋体" w:hAnsi="宋体"/>
                          <w:b/>
                          <w:bCs/>
                        </w:rPr>
                        <w:t>2.中小河道整治工程：</w:t>
                      </w:r>
                      <w:r>
                        <w:rPr>
                          <w:rFonts w:hint="eastAsia" w:ascii="宋体" w:hAnsi="宋体"/>
                          <w:bCs/>
                        </w:rPr>
                        <w:t>投资1.75亿元，综合治理万泉河、九龙河、羊肠河、长河、南小河、左小河。</w:t>
                      </w:r>
                    </w:p>
                    <w:p>
                      <w:pPr>
                        <w:ind w:firstLine="358" w:firstLineChars="170"/>
                        <w:rPr>
                          <w:rFonts w:hint="eastAsia" w:ascii="宋体" w:hAnsi="宋体"/>
                          <w:bCs/>
                        </w:rPr>
                      </w:pPr>
                      <w:r>
                        <w:rPr>
                          <w:rFonts w:hint="eastAsia" w:ascii="宋体" w:hAnsi="宋体"/>
                          <w:b/>
                          <w:bCs/>
                        </w:rPr>
                        <w:t>3.新城子污水处理厂扩建工程：</w:t>
                      </w:r>
                      <w:r>
                        <w:rPr>
                          <w:rFonts w:hint="eastAsia" w:ascii="宋体" w:hAnsi="宋体"/>
                          <w:bCs/>
                        </w:rPr>
                        <w:t>投资4000万元，扩建面积20亩，增加1.5万吨/日污水处理能力。</w:t>
                      </w:r>
                    </w:p>
                    <w:p>
                      <w:pPr>
                        <w:ind w:firstLine="358" w:firstLineChars="170"/>
                        <w:rPr>
                          <w:rFonts w:ascii="宋体" w:hAnsi="宋体" w:cs="宋体"/>
                          <w:bCs/>
                          <w:sz w:val="24"/>
                        </w:rPr>
                      </w:pPr>
                      <w:r>
                        <w:rPr>
                          <w:rFonts w:hint="eastAsia" w:ascii="宋体" w:hAnsi="宋体"/>
                          <w:b/>
                          <w:bCs/>
                        </w:rPr>
                        <w:t>4.清水污水处理厂：</w:t>
                      </w:r>
                      <w:r>
                        <w:rPr>
                          <w:rFonts w:hint="eastAsia" w:ascii="宋体" w:hAnsi="宋体"/>
                          <w:bCs/>
                        </w:rPr>
                        <w:t>投资4725万元，建设占地面积30亩，新增1万吨/日的污水处理能力。</w:t>
                      </w:r>
                    </w:p>
                    <w:p/>
                  </w:txbxContent>
                </v:textbox>
                <w10:wrap type="topAndBottom"/>
              </v:rect>
            </w:pict>
          </mc:Fallback>
        </mc:AlternateContent>
      </w:r>
    </w:p>
    <w:p>
      <w:pPr>
        <w:spacing w:line="320" w:lineRule="exact"/>
        <w:jc w:val="center"/>
        <w:rPr>
          <w:rFonts w:hint="eastAsia" w:ascii="黑体" w:hAnsi="宋体" w:eastAsia="黑体" w:cs="黑体"/>
          <w:sz w:val="30"/>
          <w:szCs w:val="30"/>
        </w:rPr>
      </w:pPr>
      <w:bookmarkStart w:id="173" w:name="_Toc443378732"/>
      <w:bookmarkStart w:id="174" w:name="_Toc445880851"/>
      <w:r>
        <w:rPr>
          <w:rFonts w:hint="eastAsia" w:ascii="黑体" w:hAnsi="宋体" w:eastAsia="黑体" w:cs="黑体"/>
          <w:sz w:val="30"/>
          <w:szCs w:val="30"/>
        </w:rPr>
        <w:t>第四章 保障措施</w:t>
      </w:r>
      <w:bookmarkEnd w:id="173"/>
      <w:bookmarkEnd w:id="174"/>
    </w:p>
    <w:p>
      <w:pPr>
        <w:spacing w:line="320" w:lineRule="exact"/>
        <w:jc w:val="center"/>
        <w:outlineLvl w:val="1"/>
        <w:rPr>
          <w:rFonts w:hint="eastAsia" w:ascii="宋体" w:hAnsi="宋体" w:cs="仿宋"/>
          <w:szCs w:val="21"/>
        </w:rPr>
      </w:pPr>
      <w:bookmarkStart w:id="175" w:name="_Toc443378733"/>
    </w:p>
    <w:p>
      <w:pPr>
        <w:spacing w:line="320" w:lineRule="exact"/>
        <w:jc w:val="center"/>
        <w:outlineLvl w:val="1"/>
        <w:rPr>
          <w:rFonts w:hint="eastAsia" w:ascii="黑体" w:hAnsi="宋体" w:eastAsia="黑体" w:cs="仿宋"/>
          <w:sz w:val="24"/>
        </w:rPr>
      </w:pPr>
      <w:r>
        <w:rPr>
          <w:rFonts w:hint="eastAsia" w:ascii="黑体" w:hAnsi="宋体" w:eastAsia="黑体" w:cs="仿宋"/>
          <w:sz w:val="24"/>
        </w:rPr>
        <w:t>第一节 加强党的领导</w:t>
      </w:r>
      <w:bookmarkEnd w:id="175"/>
    </w:p>
    <w:p>
      <w:pPr>
        <w:spacing w:line="320" w:lineRule="exact"/>
        <w:ind w:firstLine="470" w:firstLineChars="224"/>
        <w:outlineLvl w:val="3"/>
        <w:rPr>
          <w:rFonts w:hint="eastAsia" w:ascii="宋体" w:hAnsi="宋体"/>
          <w:szCs w:val="21"/>
        </w:rPr>
      </w:pPr>
      <w:bookmarkStart w:id="176" w:name="_Toc443378734"/>
      <w:bookmarkStart w:id="177" w:name="_Toc435623780"/>
      <w:bookmarkStart w:id="178" w:name="_Toc435021401"/>
      <w:bookmarkStart w:id="179" w:name="_Toc436295609"/>
      <w:r>
        <w:rPr>
          <w:rFonts w:hint="eastAsia" w:ascii="宋体" w:hAnsi="宋体"/>
          <w:szCs w:val="21"/>
        </w:rPr>
        <w:t>健全各级党组织，优化各级党的领导班子知识结构和专业结构，完善党领导经济社会发展工作机制，坚持</w:t>
      </w:r>
      <w:r>
        <w:rPr>
          <w:rFonts w:hint="eastAsia" w:ascii="宋体" w:hAnsi="宋体"/>
          <w:szCs w:val="21"/>
          <w:lang w:val="en-US" w:eastAsia="zh-CN"/>
        </w:rPr>
        <w:t>全面</w:t>
      </w:r>
      <w:bookmarkStart w:id="197" w:name="_GoBack"/>
      <w:bookmarkEnd w:id="197"/>
      <w:r>
        <w:rPr>
          <w:rFonts w:hint="eastAsia" w:ascii="宋体" w:hAnsi="宋体"/>
          <w:szCs w:val="21"/>
        </w:rPr>
        <w:t>从严治党，充分发挥党总揽全局、协调各方的领导核心作用，动员全区人民群众团结奋斗，全面实现“十三五”规划确定的各项目标任务。</w:t>
      </w:r>
      <w:bookmarkEnd w:id="176"/>
      <w:bookmarkEnd w:id="177"/>
      <w:bookmarkEnd w:id="178"/>
      <w:bookmarkEnd w:id="179"/>
    </w:p>
    <w:p>
      <w:pPr>
        <w:spacing w:line="320" w:lineRule="exact"/>
        <w:jc w:val="center"/>
        <w:outlineLvl w:val="1"/>
        <w:rPr>
          <w:rFonts w:hint="eastAsia" w:ascii="黑体" w:hAnsi="宋体" w:eastAsia="黑体" w:cs="仿宋"/>
          <w:sz w:val="24"/>
        </w:rPr>
      </w:pPr>
      <w:bookmarkStart w:id="180" w:name="_Toc443378735"/>
      <w:r>
        <w:rPr>
          <w:rFonts w:hint="eastAsia" w:ascii="黑体" w:hAnsi="宋体" w:eastAsia="黑体" w:cs="仿宋"/>
          <w:sz w:val="24"/>
        </w:rPr>
        <w:t>第二节 推进法治建设</w:t>
      </w:r>
      <w:bookmarkEnd w:id="180"/>
    </w:p>
    <w:p>
      <w:pPr>
        <w:spacing w:line="320" w:lineRule="exact"/>
        <w:ind w:firstLine="420" w:firstLineChars="200"/>
        <w:rPr>
          <w:rFonts w:hint="eastAsia" w:ascii="宋体" w:hAnsi="宋体"/>
          <w:bCs/>
          <w:szCs w:val="21"/>
        </w:rPr>
      </w:pPr>
      <w:bookmarkStart w:id="181" w:name="_Toc14055"/>
      <w:r>
        <w:rPr>
          <w:rFonts w:ascii="宋体" w:hAnsi="宋体"/>
          <w:bCs/>
          <w:szCs w:val="21"/>
        </w:rPr>
        <w:t>依法履行政府职能，</w:t>
      </w:r>
      <w:r>
        <w:rPr>
          <w:rFonts w:hint="eastAsia" w:ascii="宋体" w:hAnsi="宋体"/>
          <w:bCs/>
          <w:szCs w:val="21"/>
        </w:rPr>
        <w:t>深化</w:t>
      </w:r>
      <w:r>
        <w:rPr>
          <w:rFonts w:ascii="宋体" w:hAnsi="宋体"/>
          <w:bCs/>
          <w:szCs w:val="21"/>
        </w:rPr>
        <w:t>行政体制改革，推行政府责任清单和权力清单制度，减少行政审批事项，规范行政审批流程</w:t>
      </w:r>
      <w:r>
        <w:rPr>
          <w:rFonts w:hint="eastAsia" w:ascii="宋体" w:hAnsi="宋体"/>
          <w:bCs/>
          <w:szCs w:val="21"/>
        </w:rPr>
        <w:t>，提高审批效能</w:t>
      </w:r>
      <w:r>
        <w:rPr>
          <w:rFonts w:ascii="宋体" w:hAnsi="宋体"/>
          <w:bCs/>
          <w:szCs w:val="21"/>
        </w:rPr>
        <w:t>。健全依法决策机制，规范重大行政决策程序，强化决策事项的论证和审查。全面落实行政执法责任制</w:t>
      </w:r>
      <w:r>
        <w:rPr>
          <w:rFonts w:hint="eastAsia" w:ascii="宋体" w:hAnsi="宋体"/>
          <w:bCs/>
          <w:szCs w:val="21"/>
        </w:rPr>
        <w:t>，</w:t>
      </w:r>
      <w:r>
        <w:rPr>
          <w:rFonts w:ascii="宋体" w:hAnsi="宋体"/>
          <w:bCs/>
          <w:szCs w:val="21"/>
        </w:rPr>
        <w:t>严格规范公正文明执法，健全行政执法机制。加强政府内部权力制约</w:t>
      </w:r>
      <w:r>
        <w:rPr>
          <w:rFonts w:hint="eastAsia" w:ascii="宋体" w:hAnsi="宋体"/>
          <w:bCs/>
          <w:szCs w:val="21"/>
        </w:rPr>
        <w:t>，</w:t>
      </w:r>
      <w:r>
        <w:rPr>
          <w:rFonts w:ascii="宋体" w:hAnsi="宋体"/>
          <w:bCs/>
          <w:szCs w:val="21"/>
        </w:rPr>
        <w:t>完善监督审计机制，</w:t>
      </w:r>
      <w:bookmarkEnd w:id="181"/>
      <w:r>
        <w:rPr>
          <w:rFonts w:ascii="宋体" w:hAnsi="宋体"/>
          <w:bCs/>
          <w:szCs w:val="21"/>
        </w:rPr>
        <w:t>全面推进政务公开</w:t>
      </w:r>
      <w:r>
        <w:rPr>
          <w:rFonts w:hint="eastAsia" w:ascii="宋体" w:hAnsi="宋体"/>
          <w:bCs/>
          <w:szCs w:val="21"/>
        </w:rPr>
        <w:t>，</w:t>
      </w:r>
      <w:r>
        <w:rPr>
          <w:rFonts w:ascii="宋体" w:hAnsi="宋体"/>
          <w:bCs/>
          <w:szCs w:val="21"/>
        </w:rPr>
        <w:t>依法强化权力监督，</w:t>
      </w:r>
      <w:r>
        <w:rPr>
          <w:rFonts w:hint="eastAsia" w:ascii="宋体" w:hAnsi="宋体"/>
          <w:bCs/>
          <w:szCs w:val="21"/>
        </w:rPr>
        <w:t>建设法治政府。</w:t>
      </w:r>
    </w:p>
    <w:p>
      <w:pPr>
        <w:spacing w:line="320" w:lineRule="exact"/>
        <w:ind w:firstLine="420" w:firstLineChars="200"/>
        <w:rPr>
          <w:rFonts w:ascii="宋体" w:hAnsi="宋体"/>
          <w:bCs/>
          <w:szCs w:val="21"/>
        </w:rPr>
      </w:pPr>
      <w:r>
        <w:rPr>
          <w:rFonts w:hint="eastAsia" w:ascii="宋体" w:hAnsi="宋体"/>
          <w:bCs/>
          <w:szCs w:val="21"/>
        </w:rPr>
        <w:t>积极推进司法体制改革，</w:t>
      </w:r>
      <w:bookmarkStart w:id="182" w:name="_Toc4004"/>
      <w:r>
        <w:rPr>
          <w:rFonts w:hint="eastAsia" w:ascii="宋体" w:hAnsi="宋体"/>
          <w:bCs/>
          <w:szCs w:val="21"/>
        </w:rPr>
        <w:t>全面推进依法治区。</w:t>
      </w:r>
      <w:r>
        <w:rPr>
          <w:rFonts w:ascii="宋体" w:hAnsi="宋体"/>
          <w:bCs/>
          <w:szCs w:val="21"/>
        </w:rPr>
        <w:t>深入开展法治宣传教育，完善普法宣传教育机制，</w:t>
      </w:r>
      <w:r>
        <w:rPr>
          <w:rFonts w:hint="eastAsia" w:ascii="宋体" w:hAnsi="宋体"/>
          <w:bCs/>
          <w:szCs w:val="21"/>
        </w:rPr>
        <w:t>推进“七五”普法，</w:t>
      </w:r>
      <w:r>
        <w:rPr>
          <w:rFonts w:ascii="宋体" w:hAnsi="宋体"/>
          <w:bCs/>
          <w:szCs w:val="21"/>
        </w:rPr>
        <w:t>重点开展以法治理念、法治知识、法治文化、法治精神等为主要内容的法治宣传教育，在全社会形成守法光荣、违法可耻的良好氛围。</w:t>
      </w:r>
      <w:r>
        <w:rPr>
          <w:rFonts w:hint="eastAsia" w:ascii="宋体" w:hAnsi="宋体"/>
          <w:bCs/>
          <w:szCs w:val="21"/>
        </w:rPr>
        <w:t>建设</w:t>
      </w:r>
      <w:r>
        <w:rPr>
          <w:rFonts w:ascii="宋体" w:hAnsi="宋体"/>
          <w:bCs/>
          <w:szCs w:val="21"/>
        </w:rPr>
        <w:t>覆盖城乡的公共法律服务体系，完善法律援助</w:t>
      </w:r>
      <w:r>
        <w:rPr>
          <w:rFonts w:hint="eastAsia" w:ascii="宋体" w:hAnsi="宋体"/>
          <w:bCs/>
          <w:szCs w:val="21"/>
        </w:rPr>
        <w:t>和</w:t>
      </w:r>
      <w:r>
        <w:rPr>
          <w:rFonts w:ascii="宋体" w:hAnsi="宋体"/>
          <w:bCs/>
          <w:szCs w:val="21"/>
        </w:rPr>
        <w:t>司法</w:t>
      </w:r>
      <w:r>
        <w:rPr>
          <w:rFonts w:hint="eastAsia" w:ascii="宋体" w:hAnsi="宋体"/>
          <w:bCs/>
          <w:szCs w:val="21"/>
        </w:rPr>
        <w:t>救</w:t>
      </w:r>
      <w:r>
        <w:rPr>
          <w:rFonts w:ascii="宋体" w:hAnsi="宋体"/>
          <w:bCs/>
          <w:szCs w:val="21"/>
        </w:rPr>
        <w:t>助制</w:t>
      </w:r>
      <w:r>
        <w:rPr>
          <w:rFonts w:hint="eastAsia" w:ascii="宋体" w:hAnsi="宋体"/>
          <w:bCs/>
          <w:szCs w:val="21"/>
        </w:rPr>
        <w:t>度</w:t>
      </w:r>
      <w:r>
        <w:rPr>
          <w:rFonts w:ascii="宋体" w:hAnsi="宋体"/>
          <w:bCs/>
          <w:szCs w:val="21"/>
        </w:rPr>
        <w:t>，健全依法维权和纠纷</w:t>
      </w:r>
      <w:r>
        <w:rPr>
          <w:rFonts w:hint="eastAsia" w:ascii="宋体" w:hAnsi="宋体"/>
          <w:bCs/>
          <w:szCs w:val="21"/>
        </w:rPr>
        <w:t>调处</w:t>
      </w:r>
      <w:r>
        <w:rPr>
          <w:rFonts w:ascii="宋体" w:hAnsi="宋体"/>
          <w:bCs/>
          <w:szCs w:val="21"/>
        </w:rPr>
        <w:t>机制。加强社会道德建设，发挥法治在解决道德领域突出问题中的作用，引导人们自觉履行法定义务、社会责任、家庭责任，倡导社会诚信，使尊法守法成为全体</w:t>
      </w:r>
      <w:r>
        <w:rPr>
          <w:rFonts w:hint="eastAsia" w:ascii="宋体" w:hAnsi="宋体"/>
          <w:bCs/>
          <w:szCs w:val="21"/>
        </w:rPr>
        <w:t>公</w:t>
      </w:r>
      <w:r>
        <w:rPr>
          <w:rFonts w:ascii="宋体" w:hAnsi="宋体"/>
          <w:bCs/>
          <w:szCs w:val="21"/>
        </w:rPr>
        <w:t>民共同追求和自觉行动</w:t>
      </w:r>
      <w:r>
        <w:rPr>
          <w:rFonts w:hint="eastAsia" w:ascii="宋体" w:hAnsi="宋体"/>
          <w:bCs/>
          <w:szCs w:val="21"/>
        </w:rPr>
        <w:t>，建设法治社会</w:t>
      </w:r>
      <w:r>
        <w:rPr>
          <w:rFonts w:ascii="宋体" w:hAnsi="宋体"/>
          <w:bCs/>
          <w:szCs w:val="21"/>
        </w:rPr>
        <w:t>。</w:t>
      </w:r>
      <w:bookmarkEnd w:id="182"/>
    </w:p>
    <w:p>
      <w:pPr>
        <w:spacing w:line="320" w:lineRule="exact"/>
        <w:jc w:val="center"/>
        <w:outlineLvl w:val="1"/>
        <w:rPr>
          <w:rFonts w:hint="eastAsia" w:ascii="黑体" w:hAnsi="宋体" w:eastAsia="黑体" w:cs="仿宋"/>
          <w:sz w:val="24"/>
        </w:rPr>
      </w:pPr>
      <w:bookmarkStart w:id="183" w:name="_Toc443378736"/>
      <w:r>
        <w:rPr>
          <w:rFonts w:hint="eastAsia" w:ascii="黑体" w:hAnsi="宋体" w:eastAsia="黑体" w:cs="仿宋"/>
          <w:sz w:val="24"/>
        </w:rPr>
        <w:t>第三节 创新社会治理</w:t>
      </w:r>
      <w:bookmarkEnd w:id="183"/>
    </w:p>
    <w:p>
      <w:pPr>
        <w:spacing w:line="320" w:lineRule="exact"/>
        <w:ind w:firstLine="420" w:firstLineChars="200"/>
        <w:rPr>
          <w:rFonts w:hint="eastAsia" w:ascii="宋体" w:hAnsi="宋体"/>
          <w:bCs/>
          <w:szCs w:val="21"/>
        </w:rPr>
      </w:pPr>
      <w:r>
        <w:rPr>
          <w:rFonts w:ascii="宋体" w:hAnsi="宋体"/>
          <w:bCs/>
          <w:szCs w:val="21"/>
        </w:rPr>
        <w:t>完善党委领导、政府主导、社会协同、公众参与、法治保障的社会治理体制，推进社会治理精细化，构建全民共建共享的社会治理格局。健全利益表达、利益协调、利益保护机制，引导群众依法行使权利、表达诉求、解决纠纷。增强社区服务功能，实现政府治理和社会调节、居民自治良性互动</w:t>
      </w:r>
      <w:r>
        <w:rPr>
          <w:rFonts w:hint="eastAsia" w:ascii="宋体" w:hAnsi="宋体"/>
          <w:bCs/>
          <w:szCs w:val="21"/>
        </w:rPr>
        <w:t>，加强流动人口等特殊人群监管</w:t>
      </w:r>
      <w:r>
        <w:rPr>
          <w:rFonts w:ascii="宋体" w:hAnsi="宋体"/>
          <w:bCs/>
          <w:szCs w:val="21"/>
        </w:rPr>
        <w:t>。</w:t>
      </w:r>
      <w:r>
        <w:rPr>
          <w:rFonts w:hint="eastAsia" w:ascii="宋体" w:hAnsi="宋体"/>
          <w:bCs/>
          <w:szCs w:val="21"/>
        </w:rPr>
        <w:t>完善</w:t>
      </w:r>
      <w:r>
        <w:rPr>
          <w:rFonts w:ascii="宋体" w:hAnsi="宋体"/>
          <w:bCs/>
          <w:szCs w:val="21"/>
        </w:rPr>
        <w:t>人口基础信息库</w:t>
      </w:r>
      <w:r>
        <w:rPr>
          <w:rFonts w:hint="eastAsia" w:ascii="宋体" w:hAnsi="宋体"/>
          <w:bCs/>
          <w:szCs w:val="21"/>
        </w:rPr>
        <w:t>，加强</w:t>
      </w:r>
      <w:r>
        <w:rPr>
          <w:rFonts w:ascii="宋体" w:hAnsi="宋体"/>
          <w:bCs/>
          <w:szCs w:val="21"/>
        </w:rPr>
        <w:t>社会信用体系</w:t>
      </w:r>
      <w:r>
        <w:rPr>
          <w:rFonts w:hint="eastAsia" w:ascii="宋体" w:hAnsi="宋体"/>
          <w:bCs/>
          <w:szCs w:val="21"/>
        </w:rPr>
        <w:t>建设</w:t>
      </w:r>
      <w:r>
        <w:rPr>
          <w:rFonts w:ascii="宋体" w:hAnsi="宋体"/>
          <w:bCs/>
          <w:szCs w:val="21"/>
        </w:rPr>
        <w:t>。</w:t>
      </w:r>
      <w:r>
        <w:rPr>
          <w:rFonts w:hint="eastAsia" w:ascii="宋体" w:hAnsi="宋体"/>
          <w:bCs/>
          <w:szCs w:val="21"/>
        </w:rPr>
        <w:t>增加综合治理投入，</w:t>
      </w:r>
      <w:r>
        <w:rPr>
          <w:rFonts w:ascii="宋体" w:hAnsi="宋体"/>
          <w:bCs/>
          <w:szCs w:val="21"/>
        </w:rPr>
        <w:t>完善社会治安综合治理体制机制，加快建设社会治安立体防控体系</w:t>
      </w:r>
      <w:r>
        <w:rPr>
          <w:rFonts w:hint="eastAsia" w:ascii="宋体" w:hAnsi="宋体"/>
          <w:bCs/>
          <w:szCs w:val="21"/>
        </w:rPr>
        <w:t>和</w:t>
      </w:r>
      <w:r>
        <w:rPr>
          <w:rFonts w:ascii="宋体" w:hAnsi="宋体"/>
          <w:bCs/>
          <w:szCs w:val="21"/>
        </w:rPr>
        <w:t>基础综合服务管理平台。落实重大</w:t>
      </w:r>
      <w:r>
        <w:rPr>
          <w:rFonts w:hint="eastAsia" w:ascii="宋体" w:hAnsi="宋体"/>
          <w:bCs/>
          <w:szCs w:val="21"/>
        </w:rPr>
        <w:t>事项</w:t>
      </w:r>
      <w:r>
        <w:rPr>
          <w:rFonts w:ascii="宋体" w:hAnsi="宋体"/>
          <w:bCs/>
          <w:szCs w:val="21"/>
        </w:rPr>
        <w:t>社会稳定风险评估制度，完善社会矛盾排查预警和调处化解综合机制，有效预防和化解矛盾纠纷。严密防范、依法惩治违法犯罪活动，维护社会秩序。</w:t>
      </w:r>
      <w:r>
        <w:rPr>
          <w:rFonts w:hint="eastAsia" w:ascii="宋体" w:hAnsi="宋体"/>
          <w:bCs/>
          <w:szCs w:val="21"/>
        </w:rPr>
        <w:t>落实安全生产和食品安全责任制，完善</w:t>
      </w:r>
      <w:r>
        <w:rPr>
          <w:rFonts w:ascii="宋体" w:hAnsi="宋体"/>
          <w:bCs/>
          <w:szCs w:val="21"/>
        </w:rPr>
        <w:t>公共安全体系</w:t>
      </w:r>
      <w:r>
        <w:rPr>
          <w:rFonts w:hint="eastAsia" w:ascii="宋体" w:hAnsi="宋体"/>
          <w:bCs/>
          <w:szCs w:val="21"/>
        </w:rPr>
        <w:t>，</w:t>
      </w:r>
      <w:r>
        <w:rPr>
          <w:rFonts w:ascii="宋体" w:hAnsi="宋体"/>
          <w:bCs/>
          <w:szCs w:val="21"/>
        </w:rPr>
        <w:t>健全预警应急机制，加大监管执法力度，</w:t>
      </w:r>
      <w:r>
        <w:rPr>
          <w:rFonts w:hint="eastAsia" w:ascii="宋体" w:hAnsi="宋体"/>
          <w:bCs/>
          <w:szCs w:val="21"/>
        </w:rPr>
        <w:t>加强食品药品和安全生产监管，</w:t>
      </w:r>
      <w:r>
        <w:rPr>
          <w:rFonts w:ascii="宋体" w:hAnsi="宋体"/>
          <w:bCs/>
          <w:szCs w:val="21"/>
        </w:rPr>
        <w:t>及时排查化解安全隐患，坚决</w:t>
      </w:r>
      <w:r>
        <w:rPr>
          <w:rFonts w:hint="eastAsia" w:ascii="宋体" w:hAnsi="宋体"/>
          <w:bCs/>
          <w:szCs w:val="21"/>
        </w:rPr>
        <w:t>防止</w:t>
      </w:r>
      <w:r>
        <w:rPr>
          <w:rFonts w:ascii="宋体" w:hAnsi="宋体"/>
          <w:bCs/>
          <w:szCs w:val="21"/>
        </w:rPr>
        <w:t>重特大安全事故</w:t>
      </w:r>
      <w:r>
        <w:rPr>
          <w:rFonts w:hint="eastAsia" w:ascii="宋体" w:hAnsi="宋体"/>
          <w:bCs/>
          <w:szCs w:val="21"/>
        </w:rPr>
        <w:t>发生</w:t>
      </w:r>
      <w:r>
        <w:rPr>
          <w:rFonts w:ascii="宋体" w:hAnsi="宋体"/>
          <w:bCs/>
          <w:szCs w:val="21"/>
        </w:rPr>
        <w:t>，</w:t>
      </w:r>
      <w:r>
        <w:rPr>
          <w:rFonts w:hint="eastAsia" w:ascii="宋体" w:hAnsi="宋体"/>
          <w:bCs/>
          <w:szCs w:val="21"/>
        </w:rPr>
        <w:t>加强气象和防震减灾工作，</w:t>
      </w:r>
      <w:r>
        <w:rPr>
          <w:rFonts w:ascii="宋体" w:hAnsi="宋体"/>
          <w:bCs/>
          <w:szCs w:val="21"/>
        </w:rPr>
        <w:t>切实维护人民生命财产安全</w:t>
      </w:r>
      <w:r>
        <w:rPr>
          <w:rFonts w:hint="eastAsia" w:ascii="宋体" w:hAnsi="宋体"/>
          <w:bCs/>
          <w:szCs w:val="21"/>
        </w:rPr>
        <w:t>，打造平安沈北。加强武装工作，促进国防建设，维护国家安全。</w:t>
      </w:r>
    </w:p>
    <w:p>
      <w:pPr>
        <w:spacing w:line="320" w:lineRule="exact"/>
        <w:jc w:val="center"/>
        <w:outlineLvl w:val="1"/>
        <w:rPr>
          <w:rFonts w:hint="eastAsia" w:ascii="黑体" w:hAnsi="宋体" w:eastAsia="黑体" w:cs="仿宋"/>
          <w:sz w:val="24"/>
        </w:rPr>
      </w:pPr>
      <w:bookmarkStart w:id="184" w:name="_Toc443378737"/>
      <w:r>
        <w:rPr>
          <w:rFonts w:hint="eastAsia" w:ascii="黑体" w:hAnsi="宋体" w:eastAsia="黑体" w:cs="仿宋"/>
          <w:sz w:val="24"/>
        </w:rPr>
        <w:t>第四节 实施人才战略</w:t>
      </w:r>
      <w:bookmarkEnd w:id="184"/>
    </w:p>
    <w:p>
      <w:pPr>
        <w:spacing w:before="156" w:beforeLines="50" w:after="156" w:afterLines="50" w:line="320" w:lineRule="exact"/>
        <w:ind w:firstLine="420" w:firstLineChars="200"/>
        <w:outlineLvl w:val="2"/>
        <w:rPr>
          <w:rFonts w:ascii="宋体" w:hAnsi="宋体"/>
          <w:szCs w:val="21"/>
        </w:rPr>
      </w:pPr>
      <w:bookmarkStart w:id="185" w:name="_Toc435623784"/>
      <w:bookmarkStart w:id="186" w:name="_Toc443378738"/>
      <w:bookmarkStart w:id="187" w:name="_Toc435021405"/>
      <w:bookmarkStart w:id="188" w:name="_Toc436295613"/>
      <w:r>
        <w:rPr>
          <w:rFonts w:ascii="宋体" w:hAnsi="宋体"/>
          <w:szCs w:val="21"/>
        </w:rPr>
        <w:t>实施</w:t>
      </w:r>
      <w:r>
        <w:rPr>
          <w:rFonts w:hint="eastAsia" w:ascii="宋体" w:hAnsi="宋体"/>
          <w:szCs w:val="21"/>
        </w:rPr>
        <w:t>沈北</w:t>
      </w:r>
      <w:r>
        <w:rPr>
          <w:rFonts w:ascii="宋体" w:hAnsi="宋体"/>
          <w:szCs w:val="21"/>
        </w:rPr>
        <w:t>人才战略，统筹人才引进、培育、激励和服务保障，培养造就一批高</w:t>
      </w:r>
      <w:r>
        <w:rPr>
          <w:rFonts w:hint="eastAsia" w:ascii="宋体" w:hAnsi="宋体"/>
          <w:szCs w:val="21"/>
        </w:rPr>
        <w:t>素质</w:t>
      </w:r>
      <w:r>
        <w:rPr>
          <w:rFonts w:ascii="宋体" w:hAnsi="宋体"/>
          <w:szCs w:val="21"/>
        </w:rPr>
        <w:t>创新创业人才，打造具有</w:t>
      </w:r>
      <w:r>
        <w:rPr>
          <w:rFonts w:hint="eastAsia" w:ascii="宋体" w:hAnsi="宋体"/>
          <w:szCs w:val="21"/>
        </w:rPr>
        <w:t>区域</w:t>
      </w:r>
      <w:r>
        <w:rPr>
          <w:rFonts w:ascii="宋体" w:hAnsi="宋体"/>
          <w:szCs w:val="21"/>
        </w:rPr>
        <w:t>竞争力的人才高地。</w:t>
      </w:r>
      <w:bookmarkStart w:id="189" w:name="_Toc4139"/>
      <w:r>
        <w:rPr>
          <w:rFonts w:hint="eastAsia" w:ascii="宋体" w:hAnsi="宋体"/>
          <w:bCs/>
          <w:szCs w:val="21"/>
        </w:rPr>
        <w:t>依托国家、省、市人才计划，充分发挥企业、高校等人才引进主体作用，积极引进经济社会发展实际需要的人才。大力引进教育、卫生、文化等公共服务人才，“十三五”时期引进公共服务人才600名以上，其中，具有高级职称的人才150名以上。</w:t>
      </w:r>
      <w:bookmarkEnd w:id="189"/>
      <w:bookmarkStart w:id="190" w:name="_Toc2487"/>
      <w:r>
        <w:rPr>
          <w:rFonts w:hint="eastAsia" w:ascii="宋体" w:hAnsi="宋体"/>
          <w:szCs w:val="21"/>
        </w:rPr>
        <w:t>完善</w:t>
      </w:r>
      <w:r>
        <w:rPr>
          <w:rFonts w:ascii="宋体" w:hAnsi="宋体"/>
          <w:szCs w:val="21"/>
        </w:rPr>
        <w:t>人才培养开发机制</w:t>
      </w:r>
      <w:r>
        <w:rPr>
          <w:rFonts w:hint="eastAsia" w:ascii="宋体" w:hAnsi="宋体"/>
          <w:szCs w:val="21"/>
        </w:rPr>
        <w:t>，</w:t>
      </w:r>
      <w:r>
        <w:rPr>
          <w:rFonts w:ascii="宋体" w:hAnsi="宋体"/>
          <w:szCs w:val="21"/>
        </w:rPr>
        <w:t>健全人才荣誉制度，</w:t>
      </w:r>
      <w:r>
        <w:rPr>
          <w:rFonts w:hint="eastAsia" w:ascii="宋体" w:hAnsi="宋体"/>
          <w:szCs w:val="21"/>
        </w:rPr>
        <w:t>加强各类人才的选拔和使用。</w:t>
      </w:r>
      <w:bookmarkEnd w:id="190"/>
      <w:bookmarkStart w:id="191" w:name="_Toc20940"/>
      <w:r>
        <w:rPr>
          <w:rFonts w:ascii="宋体" w:hAnsi="宋体"/>
          <w:bCs/>
          <w:szCs w:val="21"/>
        </w:rPr>
        <w:t>以政策创新全面激发人才创新创业活力，重点支持各类人才创业发展，运用阶段参股、跟进投资、科技风险投资、风险补偿等方式，为人才创新创业提供融资</w:t>
      </w:r>
      <w:r>
        <w:rPr>
          <w:rFonts w:hint="eastAsia" w:ascii="宋体" w:hAnsi="宋体"/>
          <w:bCs/>
          <w:szCs w:val="21"/>
        </w:rPr>
        <w:t>等</w:t>
      </w:r>
      <w:r>
        <w:rPr>
          <w:rFonts w:ascii="宋体" w:hAnsi="宋体"/>
          <w:bCs/>
          <w:szCs w:val="21"/>
        </w:rPr>
        <w:t>服务。</w:t>
      </w:r>
      <w:r>
        <w:rPr>
          <w:rFonts w:ascii="宋体" w:hAnsi="宋体"/>
          <w:szCs w:val="21"/>
        </w:rPr>
        <w:t>支持有条件企业对</w:t>
      </w:r>
      <w:r>
        <w:rPr>
          <w:rFonts w:hint="eastAsia" w:ascii="宋体" w:hAnsi="宋体"/>
          <w:szCs w:val="21"/>
          <w:lang w:eastAsia="zh-CN"/>
        </w:rPr>
        <w:t>作出</w:t>
      </w:r>
      <w:r>
        <w:rPr>
          <w:rFonts w:ascii="宋体" w:hAnsi="宋体"/>
          <w:szCs w:val="21"/>
        </w:rPr>
        <w:t>突出贡献的人才给予期权、股权奖励。</w:t>
      </w:r>
      <w:bookmarkEnd w:id="185"/>
      <w:bookmarkEnd w:id="186"/>
      <w:bookmarkEnd w:id="187"/>
      <w:bookmarkEnd w:id="188"/>
      <w:bookmarkEnd w:id="191"/>
    </w:p>
    <w:p>
      <w:pPr>
        <w:numPr>
          <w:ilvl w:val="0"/>
          <w:numId w:val="3"/>
        </w:numPr>
        <w:spacing w:line="320" w:lineRule="exact"/>
        <w:jc w:val="center"/>
        <w:outlineLvl w:val="1"/>
        <w:rPr>
          <w:rFonts w:hint="eastAsia" w:ascii="黑体" w:hAnsi="宋体" w:eastAsia="黑体" w:cs="仿宋"/>
          <w:sz w:val="24"/>
        </w:rPr>
      </w:pPr>
      <w:bookmarkStart w:id="192" w:name="_Toc443378739"/>
      <w:r>
        <w:rPr>
          <w:rFonts w:hint="eastAsia" w:ascii="黑体" w:hAnsi="宋体" w:eastAsia="黑体" w:cs="仿宋"/>
          <w:sz w:val="24"/>
        </w:rPr>
        <w:t>统筹规划实施</w:t>
      </w:r>
      <w:bookmarkEnd w:id="192"/>
    </w:p>
    <w:p>
      <w:pPr>
        <w:spacing w:line="320" w:lineRule="exact"/>
        <w:ind w:firstLine="420" w:firstLineChars="200"/>
        <w:outlineLvl w:val="1"/>
        <w:rPr>
          <w:rFonts w:hint="eastAsia" w:ascii="宋体" w:hAnsi="宋体" w:cs="仿宋"/>
          <w:szCs w:val="21"/>
        </w:rPr>
      </w:pPr>
      <w:bookmarkStart w:id="193" w:name="_Toc443378740"/>
      <w:bookmarkStart w:id="194" w:name="_Toc435021407"/>
      <w:bookmarkStart w:id="195" w:name="_Toc435623786"/>
      <w:bookmarkStart w:id="196" w:name="_Toc436295615"/>
      <w:r>
        <w:rPr>
          <w:rFonts w:hint="eastAsia" w:ascii="宋体" w:hAnsi="宋体"/>
          <w:szCs w:val="21"/>
        </w:rPr>
        <w:t>各有关单位要加强规划纲要和专项规划的统筹衔接。建立规划协调、分类实施、跟踪评估机制，健全组织领导体系和工作推进机制，完善规划实施考核办法，确保全面完成沈北第十三个五年规划确定的各项任务。</w:t>
      </w:r>
      <w:bookmarkEnd w:id="193"/>
      <w:bookmarkEnd w:id="194"/>
      <w:bookmarkEnd w:id="195"/>
      <w:bookmarkEnd w:id="196"/>
    </w:p>
    <w:p>
      <w:pPr>
        <w:rPr>
          <w:rFonts w:hint="eastAsia" w:ascii="宋体" w:hAnsi="宋体"/>
          <w:szCs w:val="21"/>
        </w:rPr>
      </w:pPr>
    </w:p>
    <w:p>
      <w:pPr>
        <w:ind w:firstLine="472" w:firstLineChars="225"/>
        <w:rPr>
          <w:rFonts w:hint="eastAsia" w:ascii="宋体" w:hAnsi="宋体"/>
          <w:szCs w:val="21"/>
        </w:rPr>
      </w:pPr>
    </w:p>
    <w:p>
      <w:pPr>
        <w:ind w:firstLine="472" w:firstLineChars="225"/>
        <w:rPr>
          <w:rFonts w:hint="eastAsia" w:ascii="宋体" w:hAnsi="宋体"/>
          <w:szCs w:val="21"/>
        </w:rPr>
      </w:pPr>
    </w:p>
    <w:p>
      <w:pPr>
        <w:ind w:firstLine="472" w:firstLineChars="225"/>
        <w:rPr>
          <w:rFonts w:hint="eastAsia" w:ascii="宋体" w:hAnsi="宋体"/>
          <w:szCs w:val="21"/>
        </w:rPr>
      </w:pPr>
    </w:p>
    <w:p>
      <w:pPr>
        <w:ind w:firstLine="472" w:firstLineChars="225"/>
        <w:rPr>
          <w:rFonts w:hint="eastAsia" w:ascii="宋体" w:hAnsi="宋体"/>
          <w:szCs w:val="21"/>
        </w:rPr>
      </w:pPr>
    </w:p>
    <w:p>
      <w:pPr>
        <w:ind w:firstLine="472" w:firstLineChars="225"/>
        <w:rPr>
          <w:rFonts w:hint="eastAsia" w:ascii="宋体" w:hAnsi="宋体"/>
          <w:szCs w:val="21"/>
        </w:rPr>
      </w:pPr>
    </w:p>
    <w:p>
      <w:pPr>
        <w:ind w:firstLine="472" w:firstLineChars="225"/>
        <w:rPr>
          <w:rFonts w:hint="eastAsia" w:ascii="宋体" w:hAnsi="宋体"/>
          <w:szCs w:val="21"/>
        </w:rPr>
      </w:pPr>
    </w:p>
    <w:p>
      <w:pPr>
        <w:ind w:firstLine="472" w:firstLineChars="225"/>
        <w:rPr>
          <w:rFonts w:hint="eastAsia" w:ascii="宋体" w:hAnsi="宋体"/>
          <w:szCs w:val="21"/>
        </w:rPr>
      </w:pPr>
    </w:p>
    <w:p>
      <w:pPr>
        <w:ind w:firstLine="472" w:firstLineChars="225"/>
        <w:rPr>
          <w:rFonts w:hint="eastAsia" w:ascii="宋体" w:hAnsi="宋体"/>
          <w:szCs w:val="21"/>
        </w:rPr>
      </w:pPr>
    </w:p>
    <w:p>
      <w:pPr>
        <w:ind w:firstLine="472" w:firstLineChars="225"/>
        <w:rPr>
          <w:rFonts w:hint="eastAsia" w:ascii="宋体" w:hAnsi="宋体"/>
          <w:szCs w:val="21"/>
        </w:rPr>
      </w:pPr>
    </w:p>
    <w:p>
      <w:pPr>
        <w:ind w:firstLine="472" w:firstLineChars="225"/>
        <w:rPr>
          <w:rFonts w:hint="eastAsia" w:ascii="宋体" w:hAnsi="宋体"/>
          <w:szCs w:val="21"/>
        </w:rPr>
      </w:pPr>
    </w:p>
    <w:p>
      <w:pPr>
        <w:ind w:firstLine="472" w:firstLineChars="225"/>
        <w:rPr>
          <w:rFonts w:hint="eastAsia" w:ascii="宋体" w:hAnsi="宋体"/>
          <w:szCs w:val="21"/>
        </w:rPr>
      </w:pPr>
    </w:p>
    <w:p>
      <w:pPr>
        <w:ind w:firstLine="472" w:firstLineChars="225"/>
        <w:rPr>
          <w:rFonts w:hint="eastAsia" w:ascii="宋体" w:hAnsi="宋体"/>
          <w:szCs w:val="21"/>
        </w:rPr>
      </w:pPr>
    </w:p>
    <w:p>
      <w:pPr>
        <w:ind w:firstLine="472" w:firstLineChars="225"/>
        <w:rPr>
          <w:rFonts w:hint="eastAsia" w:ascii="宋体" w:hAnsi="宋体"/>
          <w:szCs w:val="21"/>
        </w:rPr>
      </w:pPr>
    </w:p>
    <w:p>
      <w:pPr>
        <w:ind w:firstLine="472" w:firstLineChars="225"/>
        <w:rPr>
          <w:rFonts w:hint="eastAsia" w:ascii="宋体" w:hAnsi="宋体"/>
          <w:szCs w:val="21"/>
        </w:rPr>
      </w:pPr>
    </w:p>
    <w:p>
      <w:pPr>
        <w:ind w:firstLine="472" w:firstLineChars="225"/>
        <w:rPr>
          <w:rFonts w:hint="eastAsia" w:ascii="宋体" w:hAnsi="宋体"/>
          <w:szCs w:val="21"/>
        </w:rPr>
      </w:pPr>
    </w:p>
    <w:p>
      <w:pPr>
        <w:rPr>
          <w:rFonts w:hint="eastAsia"/>
        </w:rPr>
      </w:pP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- 1 -</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374044"/>
    <w:multiLevelType w:val="singleLevel"/>
    <w:tmpl w:val="56374044"/>
    <w:lvl w:ilvl="0" w:tentative="0">
      <w:start w:val="1"/>
      <w:numFmt w:val="chineseCounting"/>
      <w:suff w:val="nothing"/>
      <w:lvlText w:val="%1、"/>
      <w:lvlJc w:val="left"/>
    </w:lvl>
  </w:abstractNum>
  <w:abstractNum w:abstractNumId="1">
    <w:nsid w:val="563B0128"/>
    <w:multiLevelType w:val="singleLevel"/>
    <w:tmpl w:val="563B0128"/>
    <w:lvl w:ilvl="0" w:tentative="0">
      <w:start w:val="5"/>
      <w:numFmt w:val="chineseCounting"/>
      <w:suff w:val="space"/>
      <w:lvlText w:val="第%1节"/>
      <w:lvlJc w:val="left"/>
    </w:lvl>
  </w:abstractNum>
  <w:abstractNum w:abstractNumId="2">
    <w:nsid w:val="564B009D"/>
    <w:multiLevelType w:val="singleLevel"/>
    <w:tmpl w:val="564B009D"/>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wYWU5ODk4NjU2YmM0YTE2MjUzOTRkMjFiNzE1Y2IifQ=="/>
  </w:docVars>
  <w:rsids>
    <w:rsidRoot w:val="00737E00"/>
    <w:rsid w:val="00737E00"/>
    <w:rsid w:val="39737EC2"/>
    <w:rsid w:val="3B142B77"/>
    <w:rsid w:val="73446782"/>
    <w:rsid w:val="786D54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w:basedOn w:val="1"/>
    <w:link w:val="9"/>
    <w:unhideWhenUsed/>
    <w:uiPriority w:val="0"/>
    <w:pPr>
      <w:ind w:left="420" w:leftChars="200" w:firstLine="640" w:firstLineChars="200"/>
    </w:pPr>
    <w:rPr>
      <w:rFonts w:eastAsia="仿宋_GB2312"/>
      <w:sz w:val="32"/>
      <w:szCs w:val="20"/>
    </w:rPr>
  </w:style>
  <w:style w:type="paragraph" w:styleId="3">
    <w:name w:val="footer"/>
    <w:basedOn w:val="1"/>
    <w:link w:val="10"/>
    <w:qFormat/>
    <w:uiPriority w:val="0"/>
    <w:pPr>
      <w:tabs>
        <w:tab w:val="center" w:pos="4153"/>
        <w:tab w:val="right" w:pos="8306"/>
      </w:tabs>
      <w:snapToGrid w:val="0"/>
      <w:jc w:val="left"/>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har Char Char Char"/>
    <w:basedOn w:val="1"/>
    <w:link w:val="6"/>
    <w:autoRedefine/>
    <w:qFormat/>
    <w:uiPriority w:val="0"/>
    <w:rPr>
      <w:rFonts w:hint="eastAsia"/>
      <w:szCs w:val="20"/>
    </w:rPr>
  </w:style>
  <w:style w:type="character" w:styleId="8">
    <w:name w:val="page number"/>
    <w:basedOn w:val="6"/>
    <w:autoRedefine/>
    <w:qFormat/>
    <w:uiPriority w:val="0"/>
  </w:style>
  <w:style w:type="character" w:customStyle="1" w:styleId="9">
    <w:name w:val="正文文本缩进 Char"/>
    <w:basedOn w:val="6"/>
    <w:link w:val="2"/>
    <w:autoRedefine/>
    <w:semiHidden/>
    <w:qFormat/>
    <w:locked/>
    <w:uiPriority w:val="0"/>
    <w:rPr>
      <w:rFonts w:eastAsia="仿宋_GB2312"/>
      <w:kern w:val="2"/>
      <w:sz w:val="32"/>
      <w:lang w:val="en-US" w:eastAsia="zh-CN" w:bidi="ar-SA"/>
    </w:rPr>
  </w:style>
  <w:style w:type="character" w:customStyle="1" w:styleId="10">
    <w:name w:val="Footer Char"/>
    <w:basedOn w:val="6"/>
    <w:link w:val="3"/>
    <w:autoRedefine/>
    <w:semiHidden/>
    <w:qFormat/>
    <w:locked/>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18</Pages>
  <Words>2649</Words>
  <Characters>15102</Characters>
  <Lines>125</Lines>
  <Paragraphs>35</Paragraphs>
  <TotalTime>10</TotalTime>
  <ScaleCrop>false</ScaleCrop>
  <LinksUpToDate>false</LinksUpToDate>
  <CharactersWithSpaces>17716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2020-01-10T07:39:00Z</dcterms:created>
  <dc:creator>User</dc:creator>
  <cp:lastModifiedBy>可惜没如果.</cp:lastModifiedBy>
  <dcterms:modified xsi:type="dcterms:W3CDTF">2024-03-20T01:20:43Z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05883B82E06D4F70AEC55339C9AA0F65</vt:lpwstr>
  </property>
</Properties>
</file>