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jc w:val="center"/>
        <w:rPr>
          <w:rFonts w:ascii="黑体" w:hAnsi="黑体" w:eastAsia="黑体" w:cs="黑体"/>
          <w:color w:val="000000" w:themeColor="text1"/>
          <w:sz w:val="28"/>
          <w:szCs w:val="44"/>
          <w14:textFill>
            <w14:solidFill>
              <w14:schemeClr w14:val="tx1"/>
            </w14:solidFill>
          </w14:textFill>
        </w:rPr>
      </w:pPr>
    </w:p>
    <w:p>
      <w:pPr>
        <w:spacing w:line="360" w:lineRule="auto"/>
        <w:ind w:firstLine="562"/>
        <w:jc w:val="center"/>
        <w:rPr>
          <w:rFonts w:ascii="黑体" w:hAnsi="黑体" w:eastAsia="黑体" w:cs="黑体"/>
          <w:color w:val="000000" w:themeColor="text1"/>
          <w:sz w:val="28"/>
          <w:szCs w:val="44"/>
          <w14:textFill>
            <w14:solidFill>
              <w14:schemeClr w14:val="tx1"/>
            </w14:solidFill>
          </w14:textFill>
        </w:rPr>
      </w:pPr>
    </w:p>
    <w:p>
      <w:pPr>
        <w:pStyle w:val="2"/>
        <w:jc w:val="center"/>
        <w:rPr>
          <w:color w:val="000000" w:themeColor="text1"/>
          <w14:textFill>
            <w14:solidFill>
              <w14:schemeClr w14:val="tx1"/>
            </w14:solidFill>
          </w14:textFill>
        </w:rPr>
      </w:pPr>
    </w:p>
    <w:p>
      <w:pPr>
        <w:spacing w:line="360" w:lineRule="auto"/>
        <w:ind w:firstLine="562"/>
        <w:jc w:val="center"/>
        <w:rPr>
          <w:rFonts w:ascii="黑体" w:hAnsi="黑体" w:eastAsia="黑体" w:cs="黑体"/>
          <w:color w:val="000000" w:themeColor="text1"/>
          <w:sz w:val="28"/>
          <w:szCs w:val="44"/>
          <w14:textFill>
            <w14:solidFill>
              <w14:schemeClr w14:val="tx1"/>
            </w14:solidFill>
          </w14:textFill>
        </w:rPr>
      </w:pPr>
    </w:p>
    <w:p>
      <w:pPr>
        <w:widowControl/>
        <w:spacing w:line="1080" w:lineRule="exact"/>
        <w:jc w:val="center"/>
        <w:rPr>
          <w:rFonts w:hint="eastAsia" w:ascii="黑体" w:hAnsi="黑体" w:eastAsia="黑体" w:cs="宋体"/>
          <w:b/>
          <w:color w:val="000000" w:themeColor="text1"/>
          <w:w w:val="75"/>
          <w:kern w:val="0"/>
          <w:sz w:val="72"/>
          <w:szCs w:val="72"/>
          <w14:textFill>
            <w14:solidFill>
              <w14:schemeClr w14:val="tx1"/>
            </w14:solidFill>
          </w14:textFill>
        </w:rPr>
      </w:pPr>
      <w:r>
        <w:rPr>
          <w:rFonts w:hint="eastAsia" w:ascii="黑体" w:hAnsi="黑体" w:eastAsia="黑体" w:cs="宋体"/>
          <w:b/>
          <w:color w:val="000000" w:themeColor="text1"/>
          <w:w w:val="75"/>
          <w:kern w:val="0"/>
          <w:sz w:val="72"/>
          <w:szCs w:val="72"/>
          <w:lang w:val="en-US" w:eastAsia="zh-CN"/>
          <w14:textFill>
            <w14:solidFill>
              <w14:schemeClr w14:val="tx1"/>
            </w14:solidFill>
          </w14:textFill>
        </w:rPr>
        <w:t>沈北新区</w:t>
      </w:r>
      <w:r>
        <w:rPr>
          <w:rFonts w:hint="eastAsia" w:ascii="黑体" w:hAnsi="黑体" w:eastAsia="黑体" w:cs="宋体"/>
          <w:b/>
          <w:color w:val="000000" w:themeColor="text1"/>
          <w:w w:val="75"/>
          <w:kern w:val="0"/>
          <w:sz w:val="72"/>
          <w:szCs w:val="72"/>
          <w14:textFill>
            <w14:solidFill>
              <w14:schemeClr w14:val="tx1"/>
            </w14:solidFill>
          </w14:textFill>
        </w:rPr>
        <w:t>卫生健康事业发展</w:t>
      </w:r>
    </w:p>
    <w:p>
      <w:pPr>
        <w:widowControl/>
        <w:spacing w:line="1080" w:lineRule="exact"/>
        <w:jc w:val="center"/>
        <w:rPr>
          <w:rFonts w:ascii="黑体" w:hAnsi="黑体" w:eastAsia="黑体" w:cs="宋体"/>
          <w:b/>
          <w:color w:val="000000" w:themeColor="text1"/>
          <w:w w:val="75"/>
          <w:kern w:val="0"/>
          <w:sz w:val="72"/>
          <w:szCs w:val="72"/>
          <w14:textFill>
            <w14:solidFill>
              <w14:schemeClr w14:val="tx1"/>
            </w14:solidFill>
          </w14:textFill>
        </w:rPr>
      </w:pPr>
      <w:r>
        <w:rPr>
          <w:rFonts w:hint="eastAsia" w:ascii="黑体" w:hAnsi="黑体" w:eastAsia="黑体" w:cs="宋体"/>
          <w:b/>
          <w:color w:val="000000" w:themeColor="text1"/>
          <w:w w:val="75"/>
          <w:kern w:val="0"/>
          <w:sz w:val="72"/>
          <w:szCs w:val="72"/>
          <w14:textFill>
            <w14:solidFill>
              <w14:schemeClr w14:val="tx1"/>
            </w14:solidFill>
          </w14:textFill>
        </w:rPr>
        <w:t>“十四五”规划</w:t>
      </w:r>
    </w:p>
    <w:p>
      <w:pPr>
        <w:spacing w:line="276" w:lineRule="auto"/>
        <w:ind w:firstLine="600"/>
        <w:jc w:val="center"/>
        <w:rPr>
          <w:rFonts w:ascii="仿宋" w:hAnsi="仿宋" w:eastAsia="仿宋"/>
          <w:b/>
          <w:color w:val="000000" w:themeColor="text1"/>
          <w:sz w:val="30"/>
          <w:szCs w:val="30"/>
          <w14:textFill>
            <w14:solidFill>
              <w14:schemeClr w14:val="tx1"/>
            </w14:solidFill>
          </w14:textFill>
        </w:rPr>
      </w:pPr>
    </w:p>
    <w:p>
      <w:pPr>
        <w:spacing w:line="276" w:lineRule="auto"/>
        <w:ind w:firstLine="600"/>
        <w:jc w:val="center"/>
        <w:rPr>
          <w:rFonts w:ascii="仿宋" w:hAnsi="仿宋" w:eastAsia="仿宋"/>
          <w:b/>
          <w:color w:val="000000" w:themeColor="text1"/>
          <w:sz w:val="30"/>
          <w:szCs w:val="30"/>
          <w14:textFill>
            <w14:solidFill>
              <w14:schemeClr w14:val="tx1"/>
            </w14:solidFill>
          </w14:textFill>
        </w:rPr>
      </w:pPr>
    </w:p>
    <w:p>
      <w:pPr>
        <w:spacing w:line="276" w:lineRule="auto"/>
        <w:ind w:firstLine="600"/>
        <w:jc w:val="center"/>
        <w:rPr>
          <w:rFonts w:ascii="仿宋" w:hAnsi="仿宋" w:eastAsia="仿宋"/>
          <w:b/>
          <w:color w:val="000000" w:themeColor="text1"/>
          <w:sz w:val="30"/>
          <w:szCs w:val="30"/>
          <w14:textFill>
            <w14:solidFill>
              <w14:schemeClr w14:val="tx1"/>
            </w14:solidFill>
          </w14:textFill>
        </w:rPr>
      </w:pPr>
    </w:p>
    <w:p>
      <w:pPr>
        <w:spacing w:line="276" w:lineRule="auto"/>
        <w:ind w:firstLine="600"/>
        <w:jc w:val="center"/>
        <w:rPr>
          <w:rFonts w:ascii="仿宋" w:hAnsi="仿宋" w:eastAsia="仿宋"/>
          <w:b/>
          <w:color w:val="000000" w:themeColor="text1"/>
          <w:sz w:val="30"/>
          <w:szCs w:val="30"/>
          <w14:textFill>
            <w14:solidFill>
              <w14:schemeClr w14:val="tx1"/>
            </w14:solidFill>
          </w14:textFill>
        </w:rPr>
      </w:pPr>
    </w:p>
    <w:p>
      <w:pPr>
        <w:spacing w:line="276" w:lineRule="auto"/>
        <w:ind w:firstLine="600"/>
        <w:jc w:val="center"/>
        <w:rPr>
          <w:rFonts w:ascii="仿宋" w:hAnsi="仿宋" w:eastAsia="仿宋"/>
          <w:b/>
          <w:color w:val="000000" w:themeColor="text1"/>
          <w:sz w:val="30"/>
          <w:szCs w:val="30"/>
          <w14:textFill>
            <w14:solidFill>
              <w14:schemeClr w14:val="tx1"/>
            </w14:solidFill>
          </w14:textFill>
        </w:rPr>
      </w:pPr>
    </w:p>
    <w:p>
      <w:pPr>
        <w:spacing w:line="276" w:lineRule="auto"/>
        <w:ind w:firstLine="600"/>
        <w:jc w:val="center"/>
        <w:rPr>
          <w:rFonts w:ascii="仿宋" w:hAnsi="仿宋" w:eastAsia="仿宋"/>
          <w:b/>
          <w:color w:val="000000" w:themeColor="text1"/>
          <w:sz w:val="30"/>
          <w:szCs w:val="30"/>
          <w14:textFill>
            <w14:solidFill>
              <w14:schemeClr w14:val="tx1"/>
            </w14:solidFill>
          </w14:textFill>
        </w:rPr>
      </w:pPr>
    </w:p>
    <w:p>
      <w:pPr>
        <w:spacing w:line="276" w:lineRule="auto"/>
        <w:ind w:firstLine="600"/>
        <w:jc w:val="center"/>
        <w:rPr>
          <w:rFonts w:ascii="仿宋" w:hAnsi="仿宋" w:eastAsia="仿宋"/>
          <w:b/>
          <w:color w:val="000000" w:themeColor="text1"/>
          <w:sz w:val="30"/>
          <w:szCs w:val="30"/>
          <w14:textFill>
            <w14:solidFill>
              <w14:schemeClr w14:val="tx1"/>
            </w14:solidFill>
          </w14:textFill>
        </w:rPr>
      </w:pPr>
    </w:p>
    <w:p>
      <w:pPr>
        <w:spacing w:line="276" w:lineRule="auto"/>
        <w:ind w:firstLine="600"/>
        <w:jc w:val="center"/>
        <w:rPr>
          <w:rFonts w:ascii="仿宋" w:hAnsi="仿宋" w:eastAsia="仿宋"/>
          <w:b/>
          <w:color w:val="000000" w:themeColor="text1"/>
          <w:sz w:val="30"/>
          <w:szCs w:val="30"/>
          <w14:textFill>
            <w14:solidFill>
              <w14:schemeClr w14:val="tx1"/>
            </w14:solidFill>
          </w14:textFill>
        </w:rPr>
      </w:pPr>
    </w:p>
    <w:p>
      <w:pPr>
        <w:pStyle w:val="2"/>
        <w:jc w:val="center"/>
        <w:rPr>
          <w:rFonts w:ascii="仿宋" w:hAnsi="仿宋" w:eastAsia="仿宋"/>
          <w:b/>
          <w:color w:val="000000" w:themeColor="text1"/>
          <w:sz w:val="30"/>
          <w:szCs w:val="30"/>
          <w14:textFill>
            <w14:solidFill>
              <w14:schemeClr w14:val="tx1"/>
            </w14:solidFill>
          </w14:textFill>
        </w:rPr>
      </w:pPr>
    </w:p>
    <w:p>
      <w:pPr>
        <w:spacing w:line="276" w:lineRule="auto"/>
        <w:ind w:firstLine="600"/>
        <w:jc w:val="center"/>
        <w:rPr>
          <w:rFonts w:ascii="仿宋" w:hAnsi="仿宋" w:eastAsia="仿宋"/>
          <w:b/>
          <w:color w:val="000000" w:themeColor="text1"/>
          <w:sz w:val="30"/>
          <w:szCs w:val="30"/>
          <w14:textFill>
            <w14:solidFill>
              <w14:schemeClr w14:val="tx1"/>
            </w14:solidFill>
          </w14:textFill>
        </w:rPr>
      </w:pPr>
    </w:p>
    <w:p>
      <w:pPr>
        <w:spacing w:line="276" w:lineRule="auto"/>
        <w:jc w:val="center"/>
        <w:rPr>
          <w:rFonts w:ascii="黑体" w:hAnsi="黑体" w:eastAsia="黑体" w:cs="宋体"/>
          <w:b/>
          <w:color w:val="000000" w:themeColor="text1"/>
          <w:kern w:val="0"/>
          <w:sz w:val="52"/>
          <w:szCs w:val="52"/>
          <w14:textFill>
            <w14:solidFill>
              <w14:schemeClr w14:val="tx1"/>
            </w14:solidFill>
          </w14:textFill>
        </w:rPr>
      </w:pPr>
      <w:r>
        <w:rPr>
          <w:rFonts w:hint="eastAsia" w:ascii="黑体" w:hAnsi="黑体" w:eastAsia="黑体"/>
          <w:b/>
          <w:color w:val="000000" w:themeColor="text1"/>
          <w:sz w:val="36"/>
          <w:szCs w:val="36"/>
          <w14:textFill>
            <w14:solidFill>
              <w14:schemeClr w14:val="tx1"/>
            </w14:solidFill>
          </w14:textFill>
        </w:rPr>
        <w:t>20</w:t>
      </w:r>
      <w:r>
        <w:rPr>
          <w:rFonts w:ascii="黑体" w:hAnsi="黑体" w:eastAsia="黑体"/>
          <w:b/>
          <w:color w:val="000000" w:themeColor="text1"/>
          <w:sz w:val="36"/>
          <w:szCs w:val="36"/>
          <w14:textFill>
            <w14:solidFill>
              <w14:schemeClr w14:val="tx1"/>
            </w14:solidFill>
          </w14:textFill>
        </w:rPr>
        <w:t>2</w:t>
      </w:r>
      <w:r>
        <w:rPr>
          <w:rFonts w:hint="eastAsia" w:ascii="黑体" w:hAnsi="黑体" w:eastAsia="黑体"/>
          <w:b/>
          <w:color w:val="000000" w:themeColor="text1"/>
          <w:sz w:val="36"/>
          <w:szCs w:val="36"/>
          <w:lang w:val="en-US" w:eastAsia="zh-CN"/>
          <w14:textFill>
            <w14:solidFill>
              <w14:schemeClr w14:val="tx1"/>
            </w14:solidFill>
          </w14:textFill>
        </w:rPr>
        <w:t>1年12月21日</w:t>
      </w:r>
      <w:r>
        <w:rPr>
          <w:rFonts w:ascii="黑体" w:hAnsi="黑体" w:eastAsia="黑体"/>
          <w:b/>
          <w:color w:val="000000" w:themeColor="text1"/>
          <w:sz w:val="36"/>
          <w:szCs w:val="36"/>
          <w14:textFill>
            <w14:solidFill>
              <w14:schemeClr w14:val="tx1"/>
            </w14:solidFill>
          </w14:textFill>
        </w:rPr>
        <w:br w:type="page"/>
      </w:r>
    </w:p>
    <w:p>
      <w:pPr>
        <w:keepNext w:val="0"/>
        <w:keepLines w:val="0"/>
        <w:pageBreakBefore w:val="0"/>
        <w:widowControl/>
        <w:kinsoku/>
        <w:wordWrap/>
        <w:overflowPunct/>
        <w:topLinePunct w:val="0"/>
        <w:autoSpaceDE/>
        <w:autoSpaceDN/>
        <w:bidi w:val="0"/>
        <w:adjustRightInd/>
        <w:snapToGrid/>
        <w:spacing w:line="600" w:lineRule="exact"/>
        <w:ind w:firstLine="398" w:firstLineChars="100"/>
        <w:jc w:val="center"/>
        <w:textAlignment w:val="auto"/>
        <w:rPr>
          <w:rFonts w:hint="eastAsia" w:ascii="宋体" w:hAnsi="宋体" w:eastAsia="宋体" w:cs="宋体"/>
          <w:b/>
          <w:bCs w:val="0"/>
          <w:color w:val="000000" w:themeColor="text1"/>
          <w:w w:val="90"/>
          <w:kern w:val="0"/>
          <w:sz w:val="44"/>
          <w:szCs w:val="44"/>
          <w14:textFill>
            <w14:solidFill>
              <w14:schemeClr w14:val="tx1"/>
            </w14:solidFill>
          </w14:textFill>
        </w:rPr>
      </w:pPr>
      <w:bookmarkStart w:id="0" w:name="_Hlk37360102"/>
      <w:r>
        <w:rPr>
          <w:rFonts w:hint="eastAsia" w:ascii="宋体" w:hAnsi="宋体" w:eastAsia="宋体" w:cs="宋体"/>
          <w:b/>
          <w:bCs w:val="0"/>
          <w:color w:val="000000" w:themeColor="text1"/>
          <w:w w:val="90"/>
          <w:kern w:val="0"/>
          <w:sz w:val="44"/>
          <w:szCs w:val="44"/>
          <w:lang w:val="en-US" w:eastAsia="zh-CN"/>
          <w14:textFill>
            <w14:solidFill>
              <w14:schemeClr w14:val="tx1"/>
            </w14:solidFill>
          </w14:textFill>
        </w:rPr>
        <w:t>沈北新区</w:t>
      </w:r>
      <w:r>
        <w:rPr>
          <w:rFonts w:hint="eastAsia" w:ascii="宋体" w:hAnsi="宋体" w:eastAsia="宋体" w:cs="宋体"/>
          <w:b/>
          <w:bCs w:val="0"/>
          <w:color w:val="000000" w:themeColor="text1"/>
          <w:w w:val="90"/>
          <w:kern w:val="0"/>
          <w:sz w:val="44"/>
          <w:szCs w:val="44"/>
          <w14:textFill>
            <w14:solidFill>
              <w14:schemeClr w14:val="tx1"/>
            </w14:solidFill>
          </w14:textFill>
        </w:rPr>
        <w:t>卫生健康事业发展“十四五”</w:t>
      </w:r>
    </w:p>
    <w:p>
      <w:pPr>
        <w:keepNext w:val="0"/>
        <w:keepLines w:val="0"/>
        <w:pageBreakBefore w:val="0"/>
        <w:widowControl/>
        <w:kinsoku/>
        <w:wordWrap/>
        <w:overflowPunct/>
        <w:topLinePunct w:val="0"/>
        <w:autoSpaceDE/>
        <w:autoSpaceDN/>
        <w:bidi w:val="0"/>
        <w:adjustRightInd/>
        <w:snapToGrid/>
        <w:spacing w:line="600" w:lineRule="exact"/>
        <w:ind w:firstLine="398" w:firstLineChars="100"/>
        <w:jc w:val="center"/>
        <w:textAlignment w:val="auto"/>
        <w:rPr>
          <w:rFonts w:hint="eastAsia" w:ascii="宋体" w:hAnsi="宋体" w:eastAsia="宋体" w:cs="宋体"/>
          <w:b/>
          <w:bCs w:val="0"/>
          <w:color w:val="000000" w:themeColor="text1"/>
          <w:w w:val="90"/>
          <w:kern w:val="0"/>
          <w:sz w:val="44"/>
          <w:szCs w:val="44"/>
          <w:lang w:val="en-US" w:eastAsia="zh-CN"/>
          <w14:textFill>
            <w14:solidFill>
              <w14:schemeClr w14:val="tx1"/>
            </w14:solidFill>
          </w14:textFill>
        </w:rPr>
      </w:pPr>
      <w:r>
        <w:rPr>
          <w:rFonts w:hint="eastAsia" w:ascii="宋体" w:hAnsi="宋体" w:eastAsia="宋体" w:cs="宋体"/>
          <w:b/>
          <w:bCs w:val="0"/>
          <w:color w:val="000000" w:themeColor="text1"/>
          <w:w w:val="90"/>
          <w:kern w:val="0"/>
          <w:sz w:val="44"/>
          <w:szCs w:val="44"/>
          <w14:textFill>
            <w14:solidFill>
              <w14:schemeClr w14:val="tx1"/>
            </w14:solidFill>
          </w14:textFill>
        </w:rPr>
        <w:t>规划</w:t>
      </w:r>
      <w:r>
        <w:rPr>
          <w:rFonts w:hint="eastAsia" w:ascii="宋体" w:hAnsi="宋体" w:eastAsia="宋体" w:cs="宋体"/>
          <w:b/>
          <w:bCs w:val="0"/>
          <w:color w:val="000000" w:themeColor="text1"/>
          <w:w w:val="90"/>
          <w:kern w:val="0"/>
          <w:sz w:val="44"/>
          <w:szCs w:val="44"/>
          <w:lang w:val="en-US" w:eastAsia="zh-CN"/>
          <w14:textFill>
            <w14:solidFill>
              <w14:schemeClr w14:val="tx1"/>
            </w14:solidFill>
          </w14:textFill>
        </w:rPr>
        <w:t>纲要</w:t>
      </w:r>
    </w:p>
    <w:bookmarkEnd w:id="0"/>
    <w:p>
      <w:pPr>
        <w:spacing w:line="276" w:lineRule="auto"/>
        <w:ind w:firstLine="480"/>
        <w:jc w:val="both"/>
        <w:rPr>
          <w:rFonts w:ascii="仿宋" w:hAnsi="仿宋" w:eastAsia="仿宋"/>
          <w:b/>
          <w:bCs/>
          <w:color w:val="000000" w:themeColor="text1"/>
          <w:sz w:val="18"/>
          <w:szCs w:val="18"/>
          <w14:textFill>
            <w14:solidFill>
              <w14:schemeClr w14:val="tx1"/>
            </w14:solidFill>
          </w14:textFill>
        </w:rPr>
      </w:pPr>
    </w:p>
    <w:p>
      <w:pPr>
        <w:spacing w:line="560" w:lineRule="exact"/>
        <w:ind w:firstLine="633" w:firstLineChars="198"/>
        <w:jc w:val="both"/>
        <w:rPr>
          <w:rFonts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shd w:val="clear" w:color="auto" w:fill="FFFFFF"/>
          <w14:textFill>
            <w14:solidFill>
              <w14:schemeClr w14:val="tx1"/>
            </w14:solidFill>
          </w14:textFill>
        </w:rPr>
        <w:t>“十四五”</w:t>
      </w:r>
      <w:r>
        <w:rPr>
          <w:rFonts w:hint="eastAsia" w:ascii="仿宋_GB2312" w:eastAsia="仿宋_GB2312"/>
          <w:bCs/>
          <w:color w:val="000000" w:themeColor="text1"/>
          <w:sz w:val="32"/>
          <w:szCs w:val="32"/>
          <w14:textFill>
            <w14:solidFill>
              <w14:schemeClr w14:val="tx1"/>
            </w14:solidFill>
          </w14:textFill>
        </w:rPr>
        <w:t>时期，</w:t>
      </w:r>
      <w:r>
        <w:rPr>
          <w:rFonts w:hint="eastAsia" w:ascii="仿宋_GB2312" w:eastAsia="仿宋_GB2312"/>
          <w:bCs/>
          <w:color w:val="000000" w:themeColor="text1"/>
          <w:sz w:val="32"/>
          <w:szCs w:val="32"/>
          <w:shd w:val="clear" w:color="auto" w:fill="FFFFFF"/>
          <w14:textFill>
            <w14:solidFill>
              <w14:schemeClr w14:val="tx1"/>
            </w14:solidFill>
          </w14:textFill>
        </w:rPr>
        <w:t>是全面深化卫生健康事业改革</w:t>
      </w:r>
      <w:r>
        <w:rPr>
          <w:rFonts w:hint="eastAsia" w:ascii="仿宋_GB2312" w:eastAsia="仿宋_GB2312"/>
          <w:bCs/>
          <w:color w:val="000000" w:themeColor="text1"/>
          <w:sz w:val="32"/>
          <w:szCs w:val="32"/>
          <w14:textFill>
            <w14:solidFill>
              <w14:schemeClr w14:val="tx1"/>
            </w14:solidFill>
          </w14:textFill>
        </w:rPr>
        <w:t>，实施“健康中国战略”的关键时期，为进一步优化沈北新区卫生健康服务体系，提升人民福祉，根据《沈北新区国民经济和社会发展第十四个五年规划纲要》，制定沈北新区卫生健康事业发展“十四五”规划。</w:t>
      </w:r>
    </w:p>
    <w:p>
      <w:pPr>
        <w:pStyle w:val="4"/>
        <w:keepNext w:val="0"/>
        <w:keepLines w:val="0"/>
        <w:pageBreakBefore w:val="0"/>
        <w:kinsoku/>
        <w:wordWrap/>
        <w:overflowPunct/>
        <w:topLinePunct w:val="0"/>
        <w:autoSpaceDE/>
        <w:autoSpaceDN/>
        <w:bidi w:val="0"/>
        <w:spacing w:before="0" w:beforeAutospacing="0" w:after="0" w:afterAutospacing="0" w:line="560" w:lineRule="exact"/>
        <w:jc w:val="both"/>
        <w:textAlignment w:val="auto"/>
        <w:rPr>
          <w:rFonts w:hint="eastAsia" w:ascii="黑体" w:hAnsi="黑体" w:eastAsia="黑体" w:cs="黑体"/>
          <w:b w:val="0"/>
          <w:bCs/>
          <w:color w:val="000000" w:themeColor="text1"/>
          <w14:textFill>
            <w14:solidFill>
              <w14:schemeClr w14:val="tx1"/>
            </w14:solidFill>
          </w14:textFill>
        </w:rPr>
      </w:pPr>
      <w:r>
        <w:rPr>
          <w:rFonts w:hint="eastAsia" w:ascii="黑体" w:hAnsi="黑体" w:eastAsia="黑体" w:cs="黑体"/>
          <w:b w:val="0"/>
          <w:bCs/>
          <w:color w:val="000000" w:themeColor="text1"/>
          <w:lang w:val="en-US" w:eastAsia="zh-CN"/>
          <w14:textFill>
            <w14:solidFill>
              <w14:schemeClr w14:val="tx1"/>
            </w14:solidFill>
          </w14:textFill>
        </w:rPr>
        <w:t>一、</w:t>
      </w:r>
      <w:r>
        <w:rPr>
          <w:rFonts w:hint="eastAsia" w:ascii="黑体" w:hAnsi="黑体" w:eastAsia="黑体" w:cs="黑体"/>
          <w:b w:val="0"/>
          <w:bCs/>
          <w:color w:val="000000" w:themeColor="text1"/>
          <w14:textFill>
            <w14:solidFill>
              <w14:schemeClr w14:val="tx1"/>
            </w14:solidFill>
          </w14:textFill>
        </w:rPr>
        <w:t>指导思想</w:t>
      </w:r>
    </w:p>
    <w:p>
      <w:pPr>
        <w:pStyle w:val="4"/>
        <w:keepNext w:val="0"/>
        <w:keepLines w:val="0"/>
        <w:pageBreakBefore w:val="0"/>
        <w:numPr>
          <w:ilvl w:val="0"/>
          <w:numId w:val="0"/>
        </w:numP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 w:hAnsi="仿宋" w:eastAsia="仿宋" w:cs="仿宋"/>
          <w:b w:val="0"/>
          <w:bCs/>
          <w:color w:val="000000" w:themeColor="text1"/>
          <w:lang w:val="en-US" w:eastAsia="zh-CN"/>
          <w14:textFill>
            <w14:solidFill>
              <w14:schemeClr w14:val="tx1"/>
            </w14:solidFill>
          </w14:textFill>
        </w:rPr>
      </w:pPr>
      <w:r>
        <w:rPr>
          <w:rFonts w:hint="eastAsia" w:ascii="仿宋" w:hAnsi="仿宋" w:eastAsia="仿宋" w:cs="仿宋"/>
          <w:b w:val="0"/>
          <w:bCs/>
          <w:color w:val="000000" w:themeColor="text1"/>
          <w14:textFill>
            <w14:solidFill>
              <w14:schemeClr w14:val="tx1"/>
            </w14:solidFill>
          </w14:textFill>
        </w:rPr>
        <w:t>以习近平新时代中国特色社会主义思想为指导，坚持以人民为中心，以健康中国战略为统领，牢固树立大卫生</w:t>
      </w:r>
      <w:r>
        <w:rPr>
          <w:rFonts w:hint="eastAsia" w:ascii="仿宋" w:hAnsi="仿宋" w:eastAsia="仿宋" w:cs="仿宋"/>
          <w:b w:val="0"/>
          <w:bCs/>
          <w:color w:val="000000" w:themeColor="text1"/>
          <w:lang w:eastAsia="zh-CN"/>
          <w14:textFill>
            <w14:solidFill>
              <w14:schemeClr w14:val="tx1"/>
            </w14:solidFill>
          </w14:textFill>
        </w:rPr>
        <w:t>、</w:t>
      </w:r>
      <w:r>
        <w:rPr>
          <w:rFonts w:hint="eastAsia" w:ascii="仿宋" w:hAnsi="仿宋" w:eastAsia="仿宋" w:cs="仿宋"/>
          <w:b w:val="0"/>
          <w:bCs/>
          <w:color w:val="000000" w:themeColor="text1"/>
          <w14:textFill>
            <w14:solidFill>
              <w14:schemeClr w14:val="tx1"/>
            </w14:solidFill>
          </w14:textFill>
        </w:rPr>
        <w:t>大健康理念，紧紧围绕卫生健康事业的高质量发展，全面深化改革</w:t>
      </w:r>
      <w:r>
        <w:rPr>
          <w:rFonts w:hint="eastAsia" w:ascii="仿宋" w:hAnsi="仿宋" w:eastAsia="仿宋" w:cs="仿宋"/>
          <w:b w:val="0"/>
          <w:bCs/>
          <w:color w:val="000000" w:themeColor="text1"/>
          <w:lang w:eastAsia="zh-CN"/>
          <w14:textFill>
            <w14:solidFill>
              <w14:schemeClr w14:val="tx1"/>
            </w14:solidFill>
          </w14:textFill>
        </w:rPr>
        <w:t>，</w:t>
      </w:r>
      <w:r>
        <w:rPr>
          <w:rFonts w:hint="eastAsia" w:ascii="仿宋" w:hAnsi="仿宋" w:eastAsia="仿宋" w:cs="仿宋"/>
          <w:b w:val="0"/>
          <w:bCs/>
          <w:color w:val="000000" w:themeColor="text1"/>
          <w14:textFill>
            <w14:solidFill>
              <w14:schemeClr w14:val="tx1"/>
            </w14:solidFill>
          </w14:textFill>
        </w:rPr>
        <w:t>优化整合资源，以促健康</w:t>
      </w:r>
      <w:r>
        <w:rPr>
          <w:rFonts w:hint="eastAsia" w:ascii="仿宋" w:hAnsi="仿宋" w:eastAsia="仿宋" w:cs="仿宋"/>
          <w:b w:val="0"/>
          <w:bCs/>
          <w:color w:val="000000" w:themeColor="text1"/>
          <w:lang w:eastAsia="zh-CN"/>
          <w14:textFill>
            <w14:solidFill>
              <w14:schemeClr w14:val="tx1"/>
            </w14:solidFill>
          </w14:textFill>
        </w:rPr>
        <w:t>、</w:t>
      </w:r>
      <w:r>
        <w:rPr>
          <w:rFonts w:hint="eastAsia" w:ascii="仿宋" w:hAnsi="仿宋" w:eastAsia="仿宋" w:cs="仿宋"/>
          <w:b w:val="0"/>
          <w:bCs/>
          <w:color w:val="000000" w:themeColor="text1"/>
          <w14:textFill>
            <w14:solidFill>
              <w14:schemeClr w14:val="tx1"/>
            </w14:solidFill>
          </w14:textFill>
        </w:rPr>
        <w:t>转模式</w:t>
      </w:r>
      <w:r>
        <w:rPr>
          <w:rFonts w:hint="eastAsia" w:ascii="仿宋" w:hAnsi="仿宋" w:eastAsia="仿宋" w:cs="仿宋"/>
          <w:b w:val="0"/>
          <w:bCs/>
          <w:color w:val="000000" w:themeColor="text1"/>
          <w:lang w:eastAsia="zh-CN"/>
          <w14:textFill>
            <w14:solidFill>
              <w14:schemeClr w14:val="tx1"/>
            </w14:solidFill>
          </w14:textFill>
        </w:rPr>
        <w:t>、</w:t>
      </w:r>
      <w:r>
        <w:rPr>
          <w:rFonts w:hint="eastAsia" w:ascii="仿宋" w:hAnsi="仿宋" w:eastAsia="仿宋" w:cs="仿宋"/>
          <w:b w:val="0"/>
          <w:bCs/>
          <w:color w:val="000000" w:themeColor="text1"/>
          <w14:textFill>
            <w14:solidFill>
              <w14:schemeClr w14:val="tx1"/>
            </w14:solidFill>
          </w14:textFill>
        </w:rPr>
        <w:t>强基层</w:t>
      </w:r>
      <w:r>
        <w:rPr>
          <w:rFonts w:hint="eastAsia" w:ascii="仿宋" w:hAnsi="仿宋" w:eastAsia="仿宋" w:cs="仿宋"/>
          <w:b w:val="0"/>
          <w:bCs/>
          <w:color w:val="000000" w:themeColor="text1"/>
          <w:lang w:eastAsia="zh-CN"/>
          <w14:textFill>
            <w14:solidFill>
              <w14:schemeClr w14:val="tx1"/>
            </w14:solidFill>
          </w14:textFill>
        </w:rPr>
        <w:t>、</w:t>
      </w:r>
      <w:r>
        <w:rPr>
          <w:rFonts w:hint="eastAsia" w:ascii="仿宋" w:hAnsi="仿宋" w:eastAsia="仿宋" w:cs="仿宋"/>
          <w:b w:val="0"/>
          <w:bCs/>
          <w:color w:val="000000" w:themeColor="text1"/>
          <w:lang w:val="en-US" w:eastAsia="zh-CN"/>
          <w14:textFill>
            <w14:solidFill>
              <w14:schemeClr w14:val="tx1"/>
            </w14:solidFill>
          </w14:textFill>
        </w:rPr>
        <w:t>重</w:t>
      </w:r>
      <w:r>
        <w:rPr>
          <w:rFonts w:hint="eastAsia" w:ascii="仿宋" w:hAnsi="仿宋" w:eastAsia="仿宋" w:cs="仿宋"/>
          <w:b w:val="0"/>
          <w:bCs/>
          <w:color w:val="000000" w:themeColor="text1"/>
          <w14:textFill>
            <w14:solidFill>
              <w14:schemeClr w14:val="tx1"/>
            </w14:solidFill>
          </w14:textFill>
        </w:rPr>
        <w:t>保障为着力点，切实完善基本医疗和基本公卫两个服务体系，努力实现以治病为中心向以人民健康为中心的根本性转变</w:t>
      </w:r>
      <w:r>
        <w:rPr>
          <w:rFonts w:hint="eastAsia" w:ascii="仿宋" w:hAnsi="仿宋" w:eastAsia="仿宋" w:cs="仿宋"/>
          <w:b w:val="0"/>
          <w:bCs/>
          <w:color w:val="000000" w:themeColor="text1"/>
          <w:lang w:eastAsia="zh-CN"/>
          <w14:textFill>
            <w14:solidFill>
              <w14:schemeClr w14:val="tx1"/>
            </w14:solidFill>
          </w14:textFill>
        </w:rPr>
        <w:t>，</w:t>
      </w:r>
      <w:r>
        <w:rPr>
          <w:rFonts w:hint="eastAsia" w:ascii="仿宋" w:hAnsi="仿宋" w:eastAsia="仿宋" w:cs="仿宋"/>
          <w:b w:val="0"/>
          <w:bCs/>
          <w:color w:val="000000" w:themeColor="text1"/>
          <w14:textFill>
            <w14:solidFill>
              <w14:schemeClr w14:val="tx1"/>
            </w14:solidFill>
          </w14:textFill>
        </w:rPr>
        <w:t>为全区人民提供全方位</w:t>
      </w:r>
      <w:r>
        <w:rPr>
          <w:rFonts w:hint="eastAsia" w:ascii="仿宋" w:hAnsi="仿宋" w:eastAsia="仿宋" w:cs="仿宋"/>
          <w:b w:val="0"/>
          <w:bCs/>
          <w:color w:val="000000" w:themeColor="text1"/>
          <w:lang w:eastAsia="zh-CN"/>
          <w14:textFill>
            <w14:solidFill>
              <w14:schemeClr w14:val="tx1"/>
            </w14:solidFill>
          </w14:textFill>
        </w:rPr>
        <w:t>、</w:t>
      </w:r>
      <w:r>
        <w:rPr>
          <w:rFonts w:hint="eastAsia" w:ascii="仿宋" w:hAnsi="仿宋" w:eastAsia="仿宋" w:cs="仿宋"/>
          <w:b w:val="0"/>
          <w:bCs/>
          <w:color w:val="000000" w:themeColor="text1"/>
          <w14:textFill>
            <w14:solidFill>
              <w14:schemeClr w14:val="tx1"/>
            </w14:solidFill>
          </w14:textFill>
        </w:rPr>
        <w:t>全周期的卫生健康服务。</w:t>
      </w:r>
      <w:r>
        <w:rPr>
          <w:rFonts w:hint="eastAsia" w:ascii="仿宋" w:hAnsi="仿宋" w:eastAsia="仿宋" w:cs="仿宋"/>
          <w:b w:val="0"/>
          <w:bCs/>
          <w:color w:val="000000" w:themeColor="text1"/>
          <w:lang w:val="en-US" w:eastAsia="zh-CN"/>
          <w14:textFill>
            <w14:solidFill>
              <w14:schemeClr w14:val="tx1"/>
            </w14:solidFill>
          </w14:textFill>
        </w:rPr>
        <w:t xml:space="preserve"> </w:t>
      </w:r>
    </w:p>
    <w:p>
      <w:pPr>
        <w:pStyle w:val="4"/>
        <w:keepNext w:val="0"/>
        <w:keepLines w:val="0"/>
        <w:pageBreakBefore w:val="0"/>
        <w:kinsoku/>
        <w:wordWrap/>
        <w:overflowPunct/>
        <w:topLinePunct w:val="0"/>
        <w:autoSpaceDE/>
        <w:autoSpaceDN/>
        <w:bidi w:val="0"/>
        <w:spacing w:before="0" w:beforeAutospacing="0" w:after="0" w:afterAutospacing="0" w:line="560" w:lineRule="exact"/>
        <w:jc w:val="both"/>
        <w:textAlignment w:val="auto"/>
        <w:rPr>
          <w:rFonts w:hint="eastAsia" w:ascii="黑体" w:hAnsi="黑体" w:eastAsia="黑体" w:cs="黑体"/>
          <w:b w:val="0"/>
          <w:bCs/>
          <w:color w:val="000000" w:themeColor="text1"/>
          <w:lang w:val="en-US" w:eastAsia="zh-CN"/>
          <w14:textFill>
            <w14:solidFill>
              <w14:schemeClr w14:val="tx1"/>
            </w14:solidFill>
          </w14:textFill>
        </w:rPr>
      </w:pPr>
      <w:r>
        <w:rPr>
          <w:rFonts w:hint="eastAsia" w:ascii="黑体" w:hAnsi="黑体" w:eastAsia="黑体" w:cs="黑体"/>
          <w:b w:val="0"/>
          <w:bCs/>
          <w:color w:val="000000" w:themeColor="text1"/>
          <w:lang w:val="en-US" w:eastAsia="zh-CN"/>
          <w14:textFill>
            <w14:solidFill>
              <w14:schemeClr w14:val="tx1"/>
            </w14:solidFill>
          </w14:textFill>
        </w:rPr>
        <w:t>二、发展目标</w:t>
      </w:r>
    </w:p>
    <w:p>
      <w:pPr>
        <w:pStyle w:val="22"/>
        <w:jc w:val="both"/>
        <w:rPr>
          <w:color w:val="000000" w:themeColor="text1"/>
          <w14:textFill>
            <w14:solidFill>
              <w14:schemeClr w14:val="tx1"/>
            </w14:solidFill>
          </w14:textFill>
        </w:rPr>
      </w:pPr>
      <w:r>
        <w:rPr>
          <w:rFonts w:hint="eastAsia"/>
          <w:b/>
          <w:bCs/>
          <w:color w:val="000000" w:themeColor="text1"/>
          <w14:textFill>
            <w14:solidFill>
              <w14:schemeClr w14:val="tx1"/>
            </w14:solidFill>
          </w14:textFill>
        </w:rPr>
        <w:t>——居民健康水平和健康素养进一步提升</w:t>
      </w:r>
      <w:r>
        <w:rPr>
          <w:rFonts w:hint="eastAsia"/>
          <w:b/>
          <w:bCs/>
          <w:color w:val="000000" w:themeColor="text1"/>
          <w:lang w:eastAsia="zh-CN"/>
          <w14:textFill>
            <w14:solidFill>
              <w14:schemeClr w14:val="tx1"/>
            </w14:solidFill>
          </w14:textFill>
        </w:rPr>
        <w:t>。</w:t>
      </w:r>
      <w:r>
        <w:rPr>
          <w:rFonts w:hint="eastAsia"/>
          <w:b w:val="0"/>
          <w:bCs w:val="0"/>
          <w:color w:val="000000" w:themeColor="text1"/>
          <w14:textFill>
            <w14:solidFill>
              <w14:schemeClr w14:val="tx1"/>
            </w14:solidFill>
          </w14:textFill>
        </w:rPr>
        <w:t>到2025年，卫生健康事业的总体水平全面提升，人口健康各项指标均达到或超过全市平均水平。孕产妇死亡率低于</w:t>
      </w:r>
      <w:r>
        <w:rPr>
          <w:rFonts w:hint="eastAsia"/>
          <w:b w:val="0"/>
          <w:bCs w:val="0"/>
          <w:color w:val="000000" w:themeColor="text1"/>
          <w:lang w:val="en-US" w:eastAsia="zh-CN"/>
          <w14:textFill>
            <w14:solidFill>
              <w14:schemeClr w14:val="tx1"/>
            </w14:solidFill>
          </w14:textFill>
        </w:rPr>
        <w:t>10/10万</w:t>
      </w:r>
      <w:r>
        <w:rPr>
          <w:rFonts w:hint="eastAsia"/>
          <w:b w:val="0"/>
          <w:bCs w:val="0"/>
          <w:color w:val="000000" w:themeColor="text1"/>
          <w:lang w:eastAsia="zh-CN"/>
          <w14:textFill>
            <w14:solidFill>
              <w14:schemeClr w14:val="tx1"/>
            </w14:solidFill>
          </w14:textFill>
        </w:rPr>
        <w:t>，</w:t>
      </w:r>
      <w:r>
        <w:rPr>
          <w:rFonts w:hint="eastAsia"/>
          <w:b w:val="0"/>
          <w:bCs w:val="0"/>
          <w:color w:val="000000" w:themeColor="text1"/>
          <w14:textFill>
            <w14:solidFill>
              <w14:schemeClr w14:val="tx1"/>
            </w14:solidFill>
          </w14:textFill>
        </w:rPr>
        <w:t>婴儿死亡率低于</w:t>
      </w:r>
      <w:r>
        <w:rPr>
          <w:rFonts w:hint="eastAsia" w:ascii="仿宋" w:hAnsi="仿宋" w:eastAsia="仿宋" w:cs="仿宋"/>
          <w:color w:val="000000" w:themeColor="text1"/>
          <w:sz w:val="32"/>
          <w:szCs w:val="40"/>
          <w:lang w:val="en-US" w:eastAsia="zh-CN"/>
          <w14:textFill>
            <w14:solidFill>
              <w14:schemeClr w14:val="tx1"/>
            </w14:solidFill>
          </w14:textFill>
        </w:rPr>
        <w:t>3.5</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cs="Times New Roman"/>
          <w:color w:val="000000" w:themeColor="text1"/>
          <w:sz w:val="32"/>
          <w:szCs w:val="32"/>
          <w:lang w:eastAsia="zh-CN"/>
          <w14:textFill>
            <w14:solidFill>
              <w14:schemeClr w14:val="tx1"/>
            </w14:solidFill>
          </w14:textFill>
        </w:rPr>
        <w:t>，</w:t>
      </w:r>
      <w:r>
        <w:rPr>
          <w:rFonts w:hint="eastAsia" w:ascii="Times New Roman" w:hAnsi="Times New Roman" w:cs="Times New Roman"/>
          <w:color w:val="000000" w:themeColor="text1"/>
          <w:sz w:val="32"/>
          <w:szCs w:val="32"/>
          <w:lang w:val="en-US" w:eastAsia="zh-CN"/>
          <w14:textFill>
            <w14:solidFill>
              <w14:schemeClr w14:val="tx1"/>
            </w14:solidFill>
          </w14:textFill>
        </w:rPr>
        <w:t>5</w:t>
      </w:r>
      <w:r>
        <w:rPr>
          <w:rFonts w:hint="eastAsia"/>
          <w:b w:val="0"/>
          <w:bCs w:val="0"/>
          <w:color w:val="000000" w:themeColor="text1"/>
          <w14:textFill>
            <w14:solidFill>
              <w14:schemeClr w14:val="tx1"/>
            </w14:solidFill>
          </w14:textFill>
        </w:rPr>
        <w:t>岁以下儿童死亡率低于</w:t>
      </w:r>
      <w:r>
        <w:rPr>
          <w:rFonts w:hint="eastAsia"/>
          <w:b w:val="0"/>
          <w:bCs w:val="0"/>
          <w:color w:val="000000" w:themeColor="text1"/>
          <w:lang w:val="en-US" w:eastAsia="zh-CN"/>
          <w14:textFill>
            <w14:solidFill>
              <w14:schemeClr w14:val="tx1"/>
            </w14:solidFill>
          </w14:textFill>
        </w:rPr>
        <w:t>3.5</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cs="Times New Roman"/>
          <w:color w:val="000000" w:themeColor="text1"/>
          <w:sz w:val="32"/>
          <w:szCs w:val="32"/>
          <w:lang w:eastAsia="zh-CN"/>
          <w14:textFill>
            <w14:solidFill>
              <w14:schemeClr w14:val="tx1"/>
            </w14:solidFill>
          </w14:textFill>
        </w:rPr>
        <w:t>。</w:t>
      </w:r>
      <w:r>
        <w:rPr>
          <w:rFonts w:hint="eastAsia"/>
          <w:color w:val="000000" w:themeColor="text1"/>
          <w14:textFill>
            <w14:solidFill>
              <w14:schemeClr w14:val="tx1"/>
            </w14:solidFill>
          </w14:textFill>
        </w:rPr>
        <w:t>到2</w:t>
      </w:r>
      <w:r>
        <w:rPr>
          <w:color w:val="000000" w:themeColor="text1"/>
          <w14:textFill>
            <w14:solidFill>
              <w14:schemeClr w14:val="tx1"/>
            </w14:solidFill>
          </w14:textFill>
        </w:rPr>
        <w:t>025</w:t>
      </w:r>
      <w:r>
        <w:rPr>
          <w:rFonts w:hint="eastAsia"/>
          <w:color w:val="000000" w:themeColor="text1"/>
          <w14:textFill>
            <w14:solidFill>
              <w14:schemeClr w14:val="tx1"/>
            </w14:solidFill>
          </w14:textFill>
        </w:rPr>
        <w:t>年，人均预期寿命在20</w:t>
      </w:r>
      <w:r>
        <w:rPr>
          <w:color w:val="000000" w:themeColor="text1"/>
          <w14:textFill>
            <w14:solidFill>
              <w14:schemeClr w14:val="tx1"/>
            </w14:solidFill>
          </w14:textFill>
        </w:rPr>
        <w:t>20</w:t>
      </w:r>
      <w:r>
        <w:rPr>
          <w:rFonts w:hint="eastAsia"/>
          <w:color w:val="000000" w:themeColor="text1"/>
          <w14:textFill>
            <w14:solidFill>
              <w14:schemeClr w14:val="tx1"/>
            </w14:solidFill>
          </w14:textFill>
        </w:rPr>
        <w:t>年基础上提高1岁。</w:t>
      </w:r>
      <w:r>
        <w:rPr>
          <w:rFonts w:hint="eastAsia"/>
          <w:color w:val="000000" w:themeColor="text1"/>
          <w:lang w:val="en-US" w:eastAsia="zh-CN"/>
          <w14:textFill>
            <w14:solidFill>
              <w14:schemeClr w14:val="tx1"/>
            </w14:solidFill>
          </w14:textFill>
        </w:rPr>
        <w:t>居</w:t>
      </w:r>
      <w:r>
        <w:rPr>
          <w:rFonts w:hint="eastAsia"/>
          <w:color w:val="000000" w:themeColor="text1"/>
          <w14:textFill>
            <w14:solidFill>
              <w14:schemeClr w14:val="tx1"/>
            </w14:solidFill>
          </w14:textFill>
        </w:rPr>
        <w:t>民健康素养水平提高至</w:t>
      </w:r>
      <w:r>
        <w:rPr>
          <w:rFonts w:hint="eastAsia"/>
          <w:color w:val="000000" w:themeColor="text1"/>
          <w:lang w:val="en-US" w:eastAsia="zh-CN"/>
          <w14:textFill>
            <w14:solidFill>
              <w14:schemeClr w14:val="tx1"/>
            </w14:solidFill>
          </w14:textFill>
        </w:rPr>
        <w:t>30</w:t>
      </w: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w:t>
      </w:r>
    </w:p>
    <w:p>
      <w:pPr>
        <w:pStyle w:val="22"/>
        <w:jc w:val="both"/>
        <w:rPr>
          <w:rFonts w:hint="eastAsia" w:eastAsia="仿宋_GB2312"/>
          <w:b w:val="0"/>
          <w:bCs w:val="0"/>
          <w:color w:val="000000" w:themeColor="text1"/>
          <w:lang w:eastAsia="zh-CN"/>
          <w14:textFill>
            <w14:solidFill>
              <w14:schemeClr w14:val="tx1"/>
            </w14:solidFill>
          </w14:textFill>
        </w:rPr>
      </w:pPr>
      <w:r>
        <w:rPr>
          <w:rFonts w:hint="eastAsia"/>
          <w:b/>
          <w:bCs/>
          <w:color w:val="000000" w:themeColor="text1"/>
          <w14:textFill>
            <w14:solidFill>
              <w14:schemeClr w14:val="tx1"/>
            </w14:solidFill>
          </w14:textFill>
        </w:rPr>
        <w:t>——医疗服务体系进一步</w:t>
      </w:r>
      <w:r>
        <w:rPr>
          <w:rFonts w:hint="eastAsia"/>
          <w:b/>
          <w:bCs/>
          <w:color w:val="000000" w:themeColor="text1"/>
          <w:lang w:val="en-US" w:eastAsia="zh-CN"/>
          <w14:textFill>
            <w14:solidFill>
              <w14:schemeClr w14:val="tx1"/>
            </w14:solidFill>
          </w14:textFill>
        </w:rPr>
        <w:t>完善</w:t>
      </w:r>
      <w:r>
        <w:rPr>
          <w:rFonts w:hint="eastAsia"/>
          <w:b/>
          <w:bCs/>
          <w:color w:val="000000" w:themeColor="text1"/>
          <w:lang w:eastAsia="zh-CN"/>
          <w14:textFill>
            <w14:solidFill>
              <w14:schemeClr w14:val="tx1"/>
            </w14:solidFill>
          </w14:textFill>
        </w:rPr>
        <w:t>。</w:t>
      </w:r>
      <w:r>
        <w:rPr>
          <w:rFonts w:hint="eastAsia"/>
          <w:b w:val="0"/>
          <w:bCs w:val="0"/>
          <w:color w:val="000000" w:themeColor="text1"/>
          <w14:textFill>
            <w14:solidFill>
              <w14:schemeClr w14:val="tx1"/>
            </w14:solidFill>
          </w14:textFill>
        </w:rPr>
        <w:t>到2025年，沈北新区医疗集团实现规范化运行，并产生良好的经济效益和社会效益，全</w:t>
      </w:r>
      <w:r>
        <w:rPr>
          <w:rFonts w:hint="eastAsia"/>
          <w:b w:val="0"/>
          <w:bCs w:val="0"/>
          <w:color w:val="000000" w:themeColor="text1"/>
          <w:lang w:val="en-US" w:eastAsia="zh-CN"/>
          <w14:textFill>
            <w14:solidFill>
              <w14:schemeClr w14:val="tx1"/>
            </w14:solidFill>
          </w14:textFill>
        </w:rPr>
        <w:t>区</w:t>
      </w:r>
      <w:r>
        <w:rPr>
          <w:rFonts w:hint="eastAsia"/>
          <w:b w:val="0"/>
          <w:bCs w:val="0"/>
          <w:color w:val="000000" w:themeColor="text1"/>
          <w14:textFill>
            <w14:solidFill>
              <w14:schemeClr w14:val="tx1"/>
            </w14:solidFill>
          </w14:textFill>
        </w:rPr>
        <w:t>医疗资源布局和功能进一步完善</w:t>
      </w:r>
      <w:r>
        <w:rPr>
          <w:rFonts w:hint="eastAsia"/>
          <w:b w:val="0"/>
          <w:bCs w:val="0"/>
          <w:color w:val="000000" w:themeColor="text1"/>
          <w:lang w:eastAsia="zh-CN"/>
          <w14:textFill>
            <w14:solidFill>
              <w14:schemeClr w14:val="tx1"/>
            </w14:solidFill>
          </w14:textFill>
        </w:rPr>
        <w:t>，</w:t>
      </w:r>
      <w:r>
        <w:rPr>
          <w:rFonts w:hint="eastAsia"/>
          <w:b w:val="0"/>
          <w:bCs w:val="0"/>
          <w:color w:val="000000" w:themeColor="text1"/>
          <w14:textFill>
            <w14:solidFill>
              <w14:schemeClr w14:val="tx1"/>
            </w14:solidFill>
          </w14:textFill>
        </w:rPr>
        <w:t>彻底实现大病不出</w:t>
      </w:r>
      <w:r>
        <w:rPr>
          <w:rFonts w:hint="eastAsia"/>
          <w:b w:val="0"/>
          <w:bCs w:val="0"/>
          <w:color w:val="000000" w:themeColor="text1"/>
          <w:lang w:val="en-US" w:eastAsia="zh-CN"/>
          <w14:textFill>
            <w14:solidFill>
              <w14:schemeClr w14:val="tx1"/>
            </w14:solidFill>
          </w14:textFill>
        </w:rPr>
        <w:t>区</w:t>
      </w:r>
      <w:r>
        <w:rPr>
          <w:rFonts w:hint="eastAsia"/>
          <w:b w:val="0"/>
          <w:bCs w:val="0"/>
          <w:color w:val="000000" w:themeColor="text1"/>
          <w14:textFill>
            <w14:solidFill>
              <w14:schemeClr w14:val="tx1"/>
            </w14:solidFill>
          </w14:textFill>
        </w:rPr>
        <w:t>的目标，居民区内就诊率超过70%</w:t>
      </w:r>
      <w:r>
        <w:rPr>
          <w:rFonts w:hint="eastAsia"/>
          <w:b w:val="0"/>
          <w:bCs w:val="0"/>
          <w:color w:val="000000" w:themeColor="text1"/>
          <w:lang w:eastAsia="zh-CN"/>
          <w14:textFill>
            <w14:solidFill>
              <w14:schemeClr w14:val="tx1"/>
            </w14:solidFill>
          </w14:textFill>
        </w:rPr>
        <w:t>，</w:t>
      </w:r>
      <w:r>
        <w:rPr>
          <w:rFonts w:hint="eastAsia"/>
          <w:b w:val="0"/>
          <w:bCs w:val="0"/>
          <w:color w:val="000000" w:themeColor="text1"/>
          <w14:textFill>
            <w14:solidFill>
              <w14:schemeClr w14:val="tx1"/>
            </w14:solidFill>
          </w14:textFill>
        </w:rPr>
        <w:t>其中基层就诊率超过80%</w:t>
      </w:r>
      <w:r>
        <w:rPr>
          <w:rFonts w:hint="eastAsia"/>
          <w:b w:val="0"/>
          <w:bCs w:val="0"/>
          <w:color w:val="000000" w:themeColor="text1"/>
          <w:lang w:eastAsia="zh-CN"/>
          <w14:textFill>
            <w14:solidFill>
              <w14:schemeClr w14:val="tx1"/>
            </w14:solidFill>
          </w14:textFill>
        </w:rPr>
        <w:t>，</w:t>
      </w:r>
      <w:r>
        <w:rPr>
          <w:rFonts w:hint="eastAsia"/>
          <w:b w:val="0"/>
          <w:bCs w:val="0"/>
          <w:color w:val="000000" w:themeColor="text1"/>
          <w14:textFill>
            <w14:solidFill>
              <w14:schemeClr w14:val="tx1"/>
            </w14:solidFill>
          </w14:textFill>
        </w:rPr>
        <w:t>中医药先进区成果进一步巩固</w:t>
      </w:r>
      <w:r>
        <w:rPr>
          <w:rFonts w:hint="eastAsia"/>
          <w:b w:val="0"/>
          <w:bCs w:val="0"/>
          <w:color w:val="000000" w:themeColor="text1"/>
          <w:lang w:eastAsia="zh-CN"/>
          <w14:textFill>
            <w14:solidFill>
              <w14:schemeClr w14:val="tx1"/>
            </w14:solidFill>
          </w14:textFill>
        </w:rPr>
        <w:t>。</w:t>
      </w:r>
    </w:p>
    <w:p>
      <w:pPr>
        <w:pStyle w:val="22"/>
        <w:jc w:val="both"/>
        <w:rPr>
          <w:color w:val="000000" w:themeColor="text1"/>
          <w14:textFill>
            <w14:solidFill>
              <w14:schemeClr w14:val="tx1"/>
            </w14:solidFill>
          </w14:textFill>
        </w:rPr>
      </w:pPr>
      <w:r>
        <w:rPr>
          <w:rFonts w:hint="eastAsia"/>
          <w:b/>
          <w:bCs/>
          <w:color w:val="000000" w:themeColor="text1"/>
          <w14:textFill>
            <w14:solidFill>
              <w14:schemeClr w14:val="tx1"/>
            </w14:solidFill>
          </w14:textFill>
        </w:rPr>
        <w:t>——公共卫生服务体系</w:t>
      </w:r>
      <w:r>
        <w:rPr>
          <w:rFonts w:hint="eastAsia"/>
          <w:b/>
          <w:bCs/>
          <w:color w:val="000000" w:themeColor="text1"/>
          <w:lang w:val="en-US" w:eastAsia="zh-CN"/>
          <w14:textFill>
            <w14:solidFill>
              <w14:schemeClr w14:val="tx1"/>
            </w14:solidFill>
          </w14:textFill>
        </w:rPr>
        <w:t>进一步优化</w:t>
      </w:r>
      <w:r>
        <w:rPr>
          <w:rFonts w:hint="eastAsia"/>
          <w:b/>
          <w:bCs/>
          <w:color w:val="000000" w:themeColor="text1"/>
          <w14:textFill>
            <w14:solidFill>
              <w14:schemeClr w14:val="tx1"/>
            </w14:solidFill>
          </w14:textFill>
        </w:rPr>
        <w:t>。</w:t>
      </w:r>
      <w:r>
        <w:rPr>
          <w:rFonts w:hint="eastAsia"/>
          <w:color w:val="000000" w:themeColor="text1"/>
          <w14:textFill>
            <w14:solidFill>
              <w14:schemeClr w14:val="tx1"/>
            </w14:solidFill>
          </w14:textFill>
        </w:rPr>
        <w:t>到2</w:t>
      </w:r>
      <w:r>
        <w:rPr>
          <w:color w:val="000000" w:themeColor="text1"/>
          <w14:textFill>
            <w14:solidFill>
              <w14:schemeClr w14:val="tx1"/>
            </w14:solidFill>
          </w14:textFill>
        </w:rPr>
        <w:t>025</w:t>
      </w:r>
      <w:r>
        <w:rPr>
          <w:rFonts w:hint="eastAsia"/>
          <w:color w:val="000000" w:themeColor="text1"/>
          <w14:textFill>
            <w14:solidFill>
              <w14:schemeClr w14:val="tx1"/>
            </w14:solidFill>
          </w14:textFill>
        </w:rPr>
        <w:t>年，</w:t>
      </w:r>
      <w:r>
        <w:rPr>
          <w:rFonts w:hint="eastAsia"/>
          <w:bCs/>
          <w:color w:val="000000" w:themeColor="text1"/>
          <w14:textFill>
            <w14:solidFill>
              <w14:schemeClr w14:val="tx1"/>
            </w14:solidFill>
          </w14:textFill>
        </w:rPr>
        <w:t>居民全生命周期健康管理</w:t>
      </w:r>
      <w:r>
        <w:rPr>
          <w:rFonts w:hint="eastAsia"/>
          <w:bCs/>
          <w:color w:val="000000" w:themeColor="text1"/>
          <w:lang w:val="en-US" w:eastAsia="zh-CN"/>
          <w14:textFill>
            <w14:solidFill>
              <w14:schemeClr w14:val="tx1"/>
            </w14:solidFill>
          </w14:textFill>
        </w:rPr>
        <w:t>取得实效</w:t>
      </w:r>
      <w:r>
        <w:rPr>
          <w:rFonts w:hint="eastAsia"/>
          <w:bCs/>
          <w:color w:val="000000" w:themeColor="text1"/>
          <w14:textFill>
            <w14:solidFill>
              <w14:schemeClr w14:val="tx1"/>
            </w14:solidFill>
          </w14:textFill>
        </w:rPr>
        <w:t>。</w:t>
      </w:r>
      <w:r>
        <w:rPr>
          <w:rFonts w:hint="eastAsia"/>
          <w:color w:val="000000" w:themeColor="text1"/>
          <w14:textFill>
            <w14:solidFill>
              <w14:schemeClr w14:val="tx1"/>
            </w14:solidFill>
          </w14:textFill>
        </w:rPr>
        <w:t>基本健康知识知晓率超过90%，居民健康档案规范化电子建档率超过95%</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岁以下儿童系统管理率超95%</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孕产妇系统管理率超95%</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65</w:t>
      </w:r>
      <w:r>
        <w:rPr>
          <w:rFonts w:hint="eastAsia"/>
          <w:color w:val="000000" w:themeColor="text1"/>
          <w14:textFill>
            <w14:solidFill>
              <w14:schemeClr w14:val="tx1"/>
            </w14:solidFill>
          </w14:textFill>
        </w:rPr>
        <w:t>岁以上老年人健康管理率超83%</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适龄儿童免疫规划疫苗接种率超98%，高血压规范管理率超70%，糖尿病规范管理率超70%，严重精神障碍患者规范管理率超80%。</w:t>
      </w:r>
    </w:p>
    <w:p>
      <w:pPr>
        <w:pStyle w:val="22"/>
        <w:jc w:val="both"/>
        <w:rPr>
          <w:rFonts w:hint="eastAsia" w:eastAsia="仿宋_GB2312"/>
          <w:color w:val="000000" w:themeColor="text1"/>
          <w:lang w:eastAsia="zh-CN"/>
          <w14:textFill>
            <w14:solidFill>
              <w14:schemeClr w14:val="tx1"/>
            </w14:solidFill>
          </w14:textFill>
        </w:rPr>
      </w:pPr>
      <w:r>
        <w:rPr>
          <w:rFonts w:hint="eastAsia"/>
          <w:b/>
          <w:bCs/>
          <w:color w:val="000000" w:themeColor="text1"/>
          <w14:textFill>
            <w14:solidFill>
              <w14:schemeClr w14:val="tx1"/>
            </w14:solidFill>
          </w14:textFill>
        </w:rPr>
        <w:t>——健康服务供给进一步</w:t>
      </w:r>
      <w:r>
        <w:rPr>
          <w:rFonts w:hint="eastAsia"/>
          <w:b/>
          <w:bCs/>
          <w:color w:val="000000" w:themeColor="text1"/>
          <w:lang w:val="en-US" w:eastAsia="zh-CN"/>
          <w14:textFill>
            <w14:solidFill>
              <w14:schemeClr w14:val="tx1"/>
            </w14:solidFill>
          </w14:textFill>
        </w:rPr>
        <w:t>多元化</w:t>
      </w:r>
      <w:r>
        <w:rPr>
          <w:rFonts w:hint="eastAsia"/>
          <w:b/>
          <w:bCs/>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到2</w:t>
      </w:r>
      <w:r>
        <w:rPr>
          <w:color w:val="000000" w:themeColor="text1"/>
          <w14:textFill>
            <w14:solidFill>
              <w14:schemeClr w14:val="tx1"/>
            </w14:solidFill>
          </w14:textFill>
        </w:rPr>
        <w:t>025年，</w:t>
      </w:r>
      <w:r>
        <w:rPr>
          <w:rFonts w:hint="eastAsia"/>
          <w:color w:val="000000" w:themeColor="text1"/>
          <w14:textFill>
            <w14:solidFill>
              <w14:schemeClr w14:val="tx1"/>
            </w14:solidFill>
          </w14:textFill>
        </w:rPr>
        <w:t>公立医疗机构的</w:t>
      </w:r>
      <w:r>
        <w:rPr>
          <w:rFonts w:hint="eastAsia"/>
          <w:color w:val="000000" w:themeColor="text1"/>
          <w:lang w:val="en-US" w:eastAsia="zh-CN"/>
          <w14:textFill>
            <w14:solidFill>
              <w14:schemeClr w14:val="tx1"/>
            </w14:solidFill>
          </w14:textFill>
        </w:rPr>
        <w:t>公益</w:t>
      </w:r>
      <w:r>
        <w:rPr>
          <w:rFonts w:hint="eastAsia"/>
          <w:color w:val="000000" w:themeColor="text1"/>
          <w14:textFill>
            <w14:solidFill>
              <w14:schemeClr w14:val="tx1"/>
            </w14:solidFill>
          </w14:textFill>
        </w:rPr>
        <w:t>特色更加突出</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非公立医疗机构</w:t>
      </w:r>
      <w:r>
        <w:rPr>
          <w:rFonts w:hint="eastAsia"/>
          <w:color w:val="000000" w:themeColor="text1"/>
          <w:lang w:val="en-US" w:eastAsia="zh-CN"/>
          <w14:textFill>
            <w14:solidFill>
              <w14:schemeClr w14:val="tx1"/>
            </w14:solidFill>
          </w14:textFill>
        </w:rPr>
        <w:t>向</w:t>
      </w:r>
      <w:r>
        <w:rPr>
          <w:rFonts w:hint="eastAsia"/>
          <w:color w:val="000000" w:themeColor="text1"/>
          <w14:textFill>
            <w14:solidFill>
              <w14:schemeClr w14:val="tx1"/>
            </w14:solidFill>
          </w14:textFill>
        </w:rPr>
        <w:t>高水平</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规模化发展方向发展</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健康服务模式向多样化发展，健康服务业进一步拓展</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医养结合</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智慧服务等有特色的健康管理服务产业相继涌现，全区健康产业初具规模</w:t>
      </w:r>
      <w:r>
        <w:rPr>
          <w:rFonts w:hint="eastAsia"/>
          <w:color w:val="000000" w:themeColor="text1"/>
          <w:lang w:eastAsia="zh-CN"/>
          <w14:textFill>
            <w14:solidFill>
              <w14:schemeClr w14:val="tx1"/>
            </w14:solidFill>
          </w14:textFill>
        </w:rPr>
        <w:t>。</w:t>
      </w:r>
    </w:p>
    <w:p>
      <w:pPr>
        <w:pStyle w:val="3"/>
        <w:keepNext w:val="0"/>
        <w:keepLines w:val="0"/>
        <w:pageBreakBefore w:val="0"/>
        <w:widowControl w:val="0"/>
        <w:numPr>
          <w:ilvl w:val="0"/>
          <w:numId w:val="0"/>
        </w:numPr>
        <w:kinsoku/>
        <w:wordWrap/>
        <w:topLinePunct w:val="0"/>
        <w:autoSpaceDE/>
        <w:autoSpaceDN/>
        <w:bidi w:val="0"/>
        <w:adjustRightInd/>
        <w:snapToGrid/>
        <w:spacing w:before="0" w:beforeAutospacing="0" w:after="0" w:afterAutospacing="0" w:line="560" w:lineRule="exact"/>
        <w:ind w:firstLine="640" w:firstLineChars="200"/>
        <w:jc w:val="both"/>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lang w:val="en-US" w:eastAsia="zh-CN"/>
          <w14:textFill>
            <w14:solidFill>
              <w14:schemeClr w14:val="tx1"/>
            </w14:solidFill>
          </w14:textFill>
        </w:rPr>
        <w:t>三、</w:t>
      </w:r>
      <w:r>
        <w:rPr>
          <w:rFonts w:hint="eastAsia" w:ascii="黑体" w:hAnsi="黑体" w:eastAsia="黑体" w:cs="黑体"/>
          <w:b w:val="0"/>
          <w:bCs/>
          <w:color w:val="000000" w:themeColor="text1"/>
          <w:sz w:val="32"/>
          <w:szCs w:val="32"/>
          <w14:textFill>
            <w14:solidFill>
              <w14:schemeClr w14:val="tx1"/>
            </w14:solidFill>
          </w14:textFill>
        </w:rPr>
        <w:t>主要任务</w:t>
      </w:r>
    </w:p>
    <w:p>
      <w:pPr>
        <w:pStyle w:val="3"/>
        <w:keepNext w:val="0"/>
        <w:keepLines w:val="0"/>
        <w:pageBreakBefore w:val="0"/>
        <w:widowControl w:val="0"/>
        <w:numPr>
          <w:ilvl w:val="0"/>
          <w:numId w:val="0"/>
        </w:numPr>
        <w:kinsoku/>
        <w:wordWrap/>
        <w:topLinePunct w:val="0"/>
        <w:autoSpaceDE/>
        <w:autoSpaceDN/>
        <w:bidi w:val="0"/>
        <w:adjustRightInd/>
        <w:snapToGrid/>
        <w:spacing w:before="0" w:beforeAutospacing="0" w:after="0" w:afterAutospacing="0" w:line="560" w:lineRule="exact"/>
        <w:ind w:firstLine="640" w:firstLineChars="200"/>
        <w:jc w:val="both"/>
        <w:rPr>
          <w:rFonts w:hint="eastAsia" w:ascii="楷体" w:hAnsi="楷体" w:eastAsia="楷体" w:cs="楷体"/>
          <w:b w:val="0"/>
          <w:bCs w:val="0"/>
          <w:color w:val="000000" w:themeColor="text1"/>
          <w:sz w:val="32"/>
          <w:szCs w:val="40"/>
          <w:highlight w:val="none"/>
          <w:lang w:val="en-US" w:eastAsia="zh-CN"/>
          <w14:textFill>
            <w14:solidFill>
              <w14:schemeClr w14:val="tx1"/>
            </w14:solidFill>
          </w14:textFill>
        </w:rPr>
      </w:pPr>
      <w:r>
        <w:rPr>
          <w:rFonts w:hint="eastAsia" w:ascii="楷体" w:hAnsi="楷体" w:eastAsia="楷体" w:cs="楷体"/>
          <w:b w:val="0"/>
          <w:bCs w:val="0"/>
          <w:color w:val="000000" w:themeColor="text1"/>
          <w:kern w:val="2"/>
          <w:sz w:val="32"/>
          <w:szCs w:val="32"/>
          <w:highlight w:val="none"/>
          <w:lang w:val="en-US" w:eastAsia="zh-CN"/>
          <w14:textFill>
            <w14:solidFill>
              <w14:schemeClr w14:val="tx1"/>
            </w14:solidFill>
          </w14:textFill>
        </w:rPr>
        <w:t>（一）</w:t>
      </w:r>
      <w:r>
        <w:rPr>
          <w:rFonts w:hint="eastAsia" w:ascii="楷体" w:hAnsi="楷体" w:eastAsia="楷体" w:cs="楷体"/>
          <w:b w:val="0"/>
          <w:bCs w:val="0"/>
          <w:color w:val="000000" w:themeColor="text1"/>
          <w:sz w:val="32"/>
          <w:szCs w:val="40"/>
          <w:highlight w:val="none"/>
          <w14:textFill>
            <w14:solidFill>
              <w14:schemeClr w14:val="tx1"/>
            </w14:solidFill>
          </w14:textFill>
        </w:rPr>
        <w:t>以人民为中心</w:t>
      </w:r>
      <w:r>
        <w:rPr>
          <w:rFonts w:hint="eastAsia" w:ascii="楷体" w:hAnsi="楷体" w:eastAsia="楷体" w:cs="楷体"/>
          <w:b w:val="0"/>
          <w:bCs w:val="0"/>
          <w:color w:val="000000" w:themeColor="text1"/>
          <w:sz w:val="32"/>
          <w:szCs w:val="40"/>
          <w:highlight w:val="none"/>
          <w:lang w:eastAsia="zh-CN"/>
          <w14:textFill>
            <w14:solidFill>
              <w14:schemeClr w14:val="tx1"/>
            </w14:solidFill>
          </w14:textFill>
        </w:rPr>
        <w:t>，</w:t>
      </w:r>
      <w:r>
        <w:rPr>
          <w:rFonts w:hint="eastAsia" w:ascii="楷体" w:hAnsi="楷体" w:eastAsia="楷体" w:cs="楷体"/>
          <w:b w:val="0"/>
          <w:bCs w:val="0"/>
          <w:color w:val="000000" w:themeColor="text1"/>
          <w:sz w:val="32"/>
          <w:szCs w:val="40"/>
          <w:highlight w:val="none"/>
          <w:lang w:val="en-US" w:eastAsia="zh-CN"/>
          <w14:textFill>
            <w14:solidFill>
              <w14:schemeClr w14:val="tx1"/>
            </w14:solidFill>
          </w14:textFill>
        </w:rPr>
        <w:t>打造健康沈北</w:t>
      </w:r>
    </w:p>
    <w:p>
      <w:pPr>
        <w:keepNext w:val="0"/>
        <w:keepLines w:val="0"/>
        <w:pageBreakBefore w:val="0"/>
        <w:widowControl w:val="0"/>
        <w:numPr>
          <w:ilvl w:val="0"/>
          <w:numId w:val="0"/>
        </w:numPr>
        <w:kinsoku/>
        <w:wordWrap/>
        <w:topLinePunct w:val="0"/>
        <w:autoSpaceDE/>
        <w:autoSpaceDN/>
        <w:bidi w:val="0"/>
        <w:adjustRightInd/>
        <w:snapToGrid/>
        <w:spacing w:line="560" w:lineRule="exact"/>
        <w:ind w:firstLine="643" w:firstLineChars="200"/>
        <w:jc w:val="both"/>
        <w:rPr>
          <w:rFonts w:hint="eastAsia" w:ascii="仿宋" w:hAnsi="仿宋" w:eastAsia="仿宋" w:cs="仿宋"/>
          <w:color w:val="000000" w:themeColor="text1"/>
          <w:sz w:val="32"/>
          <w:szCs w:val="40"/>
          <w:highlight w:val="none"/>
          <w:lang w:eastAsia="zh-CN"/>
          <w14:textFill>
            <w14:solidFill>
              <w14:schemeClr w14:val="tx1"/>
            </w14:solidFill>
          </w14:textFill>
        </w:rPr>
      </w:pPr>
      <w:r>
        <w:rPr>
          <w:rFonts w:hint="eastAsia" w:ascii="仿宋" w:hAnsi="仿宋" w:eastAsia="仿宋" w:cs="仿宋"/>
          <w:b/>
          <w:bCs/>
          <w:color w:val="000000" w:themeColor="text1"/>
          <w:sz w:val="32"/>
          <w:szCs w:val="40"/>
          <w:highlight w:val="none"/>
          <w14:textFill>
            <w14:solidFill>
              <w14:schemeClr w14:val="tx1"/>
            </w14:solidFill>
          </w14:textFill>
        </w:rPr>
        <w:t>营造健康环境</w:t>
      </w:r>
      <w:r>
        <w:rPr>
          <w:rFonts w:hint="eastAsia" w:ascii="仿宋" w:hAnsi="仿宋" w:eastAsia="仿宋" w:cs="仿宋"/>
          <w:b/>
          <w:bCs/>
          <w:color w:val="000000" w:themeColor="text1"/>
          <w:sz w:val="32"/>
          <w:szCs w:val="40"/>
          <w:highlight w:val="none"/>
          <w:lang w:eastAsia="zh-CN"/>
          <w14:textFill>
            <w14:solidFill>
              <w14:schemeClr w14:val="tx1"/>
            </w14:solidFill>
          </w14:textFill>
        </w:rPr>
        <w:t>。</w:t>
      </w:r>
      <w:r>
        <w:rPr>
          <w:rFonts w:hint="eastAsia" w:ascii="仿宋" w:hAnsi="仿宋" w:eastAsia="仿宋" w:cs="仿宋"/>
          <w:color w:val="000000" w:themeColor="text1"/>
          <w:sz w:val="32"/>
          <w:szCs w:val="40"/>
          <w:highlight w:val="none"/>
          <w14:textFill>
            <w14:solidFill>
              <w14:schemeClr w14:val="tx1"/>
            </w14:solidFill>
          </w14:textFill>
        </w:rPr>
        <w:t>以满足人民群众日益增长的健康需求为出发点，巩固全国卫生城和全国文明城创建成果</w:t>
      </w:r>
      <w:r>
        <w:rPr>
          <w:rFonts w:hint="eastAsia" w:ascii="仿宋" w:hAnsi="仿宋" w:eastAsia="仿宋" w:cs="仿宋"/>
          <w:color w:val="000000" w:themeColor="text1"/>
          <w:sz w:val="32"/>
          <w:szCs w:val="40"/>
          <w:highlight w:val="none"/>
          <w:lang w:eastAsia="zh-CN"/>
          <w14:textFill>
            <w14:solidFill>
              <w14:schemeClr w14:val="tx1"/>
            </w14:solidFill>
          </w14:textFill>
        </w:rPr>
        <w:t>。</w:t>
      </w:r>
      <w:r>
        <w:rPr>
          <w:rFonts w:hint="eastAsia" w:ascii="仿宋" w:hAnsi="仿宋" w:eastAsia="仿宋" w:cs="仿宋"/>
          <w:color w:val="000000" w:themeColor="text1"/>
          <w:sz w:val="32"/>
          <w:szCs w:val="40"/>
          <w:highlight w:val="none"/>
          <w14:textFill>
            <w14:solidFill>
              <w14:schemeClr w14:val="tx1"/>
            </w14:solidFill>
          </w14:textFill>
        </w:rPr>
        <w:t>要按健康城市标准规划建设城市基础设施</w:t>
      </w:r>
      <w:r>
        <w:rPr>
          <w:rFonts w:hint="eastAsia" w:ascii="仿宋" w:hAnsi="仿宋" w:eastAsia="仿宋" w:cs="仿宋"/>
          <w:color w:val="000000" w:themeColor="text1"/>
          <w:sz w:val="32"/>
          <w:szCs w:val="40"/>
          <w:highlight w:val="none"/>
          <w:lang w:eastAsia="zh-CN"/>
          <w14:textFill>
            <w14:solidFill>
              <w14:schemeClr w14:val="tx1"/>
            </w14:solidFill>
          </w14:textFill>
        </w:rPr>
        <w:t>，</w:t>
      </w:r>
      <w:r>
        <w:rPr>
          <w:rFonts w:hint="eastAsia" w:ascii="仿宋" w:hAnsi="仿宋" w:eastAsia="仿宋" w:cs="仿宋"/>
          <w:color w:val="000000" w:themeColor="text1"/>
          <w:sz w:val="32"/>
          <w:szCs w:val="40"/>
          <w:highlight w:val="none"/>
          <w14:textFill>
            <w14:solidFill>
              <w14:schemeClr w14:val="tx1"/>
            </w14:solidFill>
          </w14:textFill>
        </w:rPr>
        <w:t>进一步提高城市污水处理系统处理能力</w:t>
      </w:r>
      <w:r>
        <w:rPr>
          <w:rFonts w:hint="eastAsia" w:ascii="仿宋" w:hAnsi="仿宋" w:eastAsia="仿宋" w:cs="仿宋"/>
          <w:color w:val="000000" w:themeColor="text1"/>
          <w:sz w:val="32"/>
          <w:szCs w:val="40"/>
          <w:highlight w:val="none"/>
          <w:lang w:eastAsia="zh-CN"/>
          <w14:textFill>
            <w14:solidFill>
              <w14:schemeClr w14:val="tx1"/>
            </w14:solidFill>
          </w14:textFill>
        </w:rPr>
        <w:t>，</w:t>
      </w:r>
      <w:r>
        <w:rPr>
          <w:rFonts w:hint="eastAsia" w:ascii="仿宋" w:hAnsi="仿宋" w:eastAsia="仿宋" w:cs="仿宋"/>
          <w:color w:val="000000" w:themeColor="text1"/>
          <w:sz w:val="32"/>
          <w:szCs w:val="40"/>
          <w:highlight w:val="none"/>
          <w14:textFill>
            <w14:solidFill>
              <w14:schemeClr w14:val="tx1"/>
            </w14:solidFill>
          </w14:textFill>
        </w:rPr>
        <w:t>改善饮用水条件</w:t>
      </w:r>
      <w:r>
        <w:rPr>
          <w:rFonts w:hint="eastAsia" w:ascii="仿宋" w:hAnsi="仿宋" w:eastAsia="仿宋" w:cs="仿宋"/>
          <w:color w:val="000000" w:themeColor="text1"/>
          <w:sz w:val="32"/>
          <w:szCs w:val="40"/>
          <w:highlight w:val="none"/>
          <w:lang w:eastAsia="zh-CN"/>
          <w14:textFill>
            <w14:solidFill>
              <w14:schemeClr w14:val="tx1"/>
            </w14:solidFill>
          </w14:textFill>
        </w:rPr>
        <w:t>，</w:t>
      </w:r>
      <w:r>
        <w:rPr>
          <w:rFonts w:hint="eastAsia" w:ascii="仿宋" w:hAnsi="仿宋" w:eastAsia="仿宋" w:cs="仿宋"/>
          <w:color w:val="000000" w:themeColor="text1"/>
          <w:sz w:val="32"/>
          <w:szCs w:val="40"/>
          <w:highlight w:val="none"/>
          <w14:textFill>
            <w14:solidFill>
              <w14:schemeClr w14:val="tx1"/>
            </w14:solidFill>
          </w14:textFill>
        </w:rPr>
        <w:t>普及体育健身设施，加快农村无害化卫生厕所建设。要坚持建管并重</w:t>
      </w:r>
      <w:r>
        <w:rPr>
          <w:rFonts w:hint="eastAsia" w:ascii="仿宋" w:hAnsi="仿宋" w:eastAsia="仿宋" w:cs="仿宋"/>
          <w:color w:val="000000" w:themeColor="text1"/>
          <w:sz w:val="32"/>
          <w:szCs w:val="40"/>
          <w:highlight w:val="none"/>
          <w:lang w:eastAsia="zh-CN"/>
          <w14:textFill>
            <w14:solidFill>
              <w14:schemeClr w14:val="tx1"/>
            </w14:solidFill>
          </w14:textFill>
        </w:rPr>
        <w:t>，</w:t>
      </w:r>
      <w:r>
        <w:rPr>
          <w:rFonts w:hint="eastAsia" w:ascii="仿宋" w:hAnsi="仿宋" w:eastAsia="仿宋" w:cs="仿宋"/>
          <w:color w:val="000000" w:themeColor="text1"/>
          <w:sz w:val="32"/>
          <w:szCs w:val="40"/>
          <w:highlight w:val="none"/>
          <w14:textFill>
            <w14:solidFill>
              <w14:schemeClr w14:val="tx1"/>
            </w14:solidFill>
          </w14:textFill>
        </w:rPr>
        <w:t>推进城市精细化</w:t>
      </w:r>
      <w:r>
        <w:rPr>
          <w:rFonts w:hint="eastAsia" w:ascii="仿宋" w:hAnsi="仿宋" w:eastAsia="仿宋" w:cs="仿宋"/>
          <w:color w:val="000000" w:themeColor="text1"/>
          <w:sz w:val="32"/>
          <w:szCs w:val="40"/>
          <w:highlight w:val="none"/>
          <w:lang w:eastAsia="zh-CN"/>
          <w14:textFill>
            <w14:solidFill>
              <w14:schemeClr w14:val="tx1"/>
            </w14:solidFill>
          </w14:textFill>
        </w:rPr>
        <w:t>、</w:t>
      </w:r>
      <w:r>
        <w:rPr>
          <w:rFonts w:hint="eastAsia" w:ascii="仿宋" w:hAnsi="仿宋" w:eastAsia="仿宋" w:cs="仿宋"/>
          <w:color w:val="000000" w:themeColor="text1"/>
          <w:sz w:val="32"/>
          <w:szCs w:val="40"/>
          <w:highlight w:val="none"/>
          <w14:textFill>
            <w14:solidFill>
              <w14:schemeClr w14:val="tx1"/>
            </w14:solidFill>
          </w14:textFill>
        </w:rPr>
        <w:t>常态化管理</w:t>
      </w:r>
      <w:r>
        <w:rPr>
          <w:rFonts w:hint="eastAsia" w:ascii="仿宋" w:hAnsi="仿宋" w:eastAsia="仿宋" w:cs="仿宋"/>
          <w:color w:val="000000" w:themeColor="text1"/>
          <w:sz w:val="32"/>
          <w:szCs w:val="40"/>
          <w:highlight w:val="none"/>
          <w:lang w:eastAsia="zh-CN"/>
          <w14:textFill>
            <w14:solidFill>
              <w14:schemeClr w14:val="tx1"/>
            </w14:solidFill>
          </w14:textFill>
        </w:rPr>
        <w:t>，</w:t>
      </w:r>
      <w:r>
        <w:rPr>
          <w:rFonts w:hint="eastAsia" w:ascii="仿宋" w:hAnsi="仿宋" w:eastAsia="仿宋" w:cs="仿宋"/>
          <w:color w:val="000000" w:themeColor="text1"/>
          <w:sz w:val="32"/>
          <w:szCs w:val="40"/>
          <w:highlight w:val="none"/>
          <w14:textFill>
            <w14:solidFill>
              <w14:schemeClr w14:val="tx1"/>
            </w14:solidFill>
          </w14:textFill>
        </w:rPr>
        <w:t>加大环境卫生综合治理力度</w:t>
      </w:r>
      <w:r>
        <w:rPr>
          <w:rFonts w:hint="eastAsia" w:ascii="仿宋" w:hAnsi="仿宋" w:eastAsia="仿宋" w:cs="仿宋"/>
          <w:color w:val="000000" w:themeColor="text1"/>
          <w:sz w:val="32"/>
          <w:szCs w:val="40"/>
          <w:highlight w:val="none"/>
          <w:lang w:eastAsia="zh-CN"/>
          <w14:textFill>
            <w14:solidFill>
              <w14:schemeClr w14:val="tx1"/>
            </w14:solidFill>
          </w14:textFill>
        </w:rPr>
        <w:t>，</w:t>
      </w:r>
      <w:r>
        <w:rPr>
          <w:rFonts w:hint="eastAsia" w:ascii="仿宋" w:hAnsi="仿宋" w:eastAsia="仿宋" w:cs="仿宋"/>
          <w:color w:val="000000" w:themeColor="text1"/>
          <w:sz w:val="32"/>
          <w:szCs w:val="40"/>
          <w:highlight w:val="none"/>
          <w14:textFill>
            <w14:solidFill>
              <w14:schemeClr w14:val="tx1"/>
            </w14:solidFill>
          </w14:textFill>
        </w:rPr>
        <w:t>清除卫生死角，解决百姓身边环境脏乱差</w:t>
      </w:r>
      <w:r>
        <w:rPr>
          <w:rFonts w:hint="eastAsia" w:ascii="仿宋" w:hAnsi="仿宋" w:eastAsia="仿宋" w:cs="仿宋"/>
          <w:color w:val="000000" w:themeColor="text1"/>
          <w:sz w:val="32"/>
          <w:szCs w:val="40"/>
          <w:highlight w:val="none"/>
          <w:lang w:val="en-US" w:eastAsia="zh-CN"/>
          <w14:textFill>
            <w14:solidFill>
              <w14:schemeClr w14:val="tx1"/>
            </w14:solidFill>
          </w14:textFill>
        </w:rPr>
        <w:t>的</w:t>
      </w:r>
      <w:r>
        <w:rPr>
          <w:rFonts w:hint="eastAsia" w:ascii="仿宋" w:hAnsi="仿宋" w:eastAsia="仿宋" w:cs="仿宋"/>
          <w:color w:val="000000" w:themeColor="text1"/>
          <w:sz w:val="32"/>
          <w:szCs w:val="40"/>
          <w:highlight w:val="none"/>
          <w14:textFill>
            <w14:solidFill>
              <w14:schemeClr w14:val="tx1"/>
            </w14:solidFill>
          </w14:textFill>
        </w:rPr>
        <w:t>问题，创造整洁有序健康宜居的生活环境。要进一步强化环境保护工作，持续开展污水治理</w:t>
      </w:r>
      <w:r>
        <w:rPr>
          <w:rFonts w:hint="eastAsia" w:ascii="仿宋" w:hAnsi="仿宋" w:eastAsia="仿宋" w:cs="仿宋"/>
          <w:color w:val="000000" w:themeColor="text1"/>
          <w:sz w:val="32"/>
          <w:szCs w:val="40"/>
          <w:highlight w:val="none"/>
          <w:lang w:eastAsia="zh-CN"/>
          <w14:textFill>
            <w14:solidFill>
              <w14:schemeClr w14:val="tx1"/>
            </w14:solidFill>
          </w14:textFill>
        </w:rPr>
        <w:t>、</w:t>
      </w:r>
      <w:r>
        <w:rPr>
          <w:rFonts w:hint="eastAsia" w:ascii="仿宋" w:hAnsi="仿宋" w:eastAsia="仿宋" w:cs="仿宋"/>
          <w:color w:val="000000" w:themeColor="text1"/>
          <w:sz w:val="32"/>
          <w:szCs w:val="40"/>
          <w:highlight w:val="none"/>
          <w14:textFill>
            <w14:solidFill>
              <w14:schemeClr w14:val="tx1"/>
            </w14:solidFill>
          </w14:textFill>
        </w:rPr>
        <w:t>河道整治</w:t>
      </w:r>
      <w:r>
        <w:rPr>
          <w:rFonts w:hint="eastAsia" w:ascii="仿宋" w:hAnsi="仿宋" w:eastAsia="仿宋" w:cs="仿宋"/>
          <w:color w:val="000000" w:themeColor="text1"/>
          <w:sz w:val="32"/>
          <w:szCs w:val="40"/>
          <w:highlight w:val="none"/>
          <w:lang w:eastAsia="zh-CN"/>
          <w14:textFill>
            <w14:solidFill>
              <w14:schemeClr w14:val="tx1"/>
            </w14:solidFill>
          </w14:textFill>
        </w:rPr>
        <w:t>、</w:t>
      </w:r>
      <w:r>
        <w:rPr>
          <w:rFonts w:hint="eastAsia" w:ascii="仿宋" w:hAnsi="仿宋" w:eastAsia="仿宋" w:cs="仿宋"/>
          <w:color w:val="000000" w:themeColor="text1"/>
          <w:sz w:val="32"/>
          <w:szCs w:val="40"/>
          <w:highlight w:val="none"/>
          <w14:textFill>
            <w14:solidFill>
              <w14:schemeClr w14:val="tx1"/>
            </w14:solidFill>
          </w14:textFill>
        </w:rPr>
        <w:t>雾霾治理</w:t>
      </w:r>
      <w:r>
        <w:rPr>
          <w:rFonts w:hint="eastAsia" w:ascii="仿宋" w:hAnsi="仿宋" w:eastAsia="仿宋" w:cs="仿宋"/>
          <w:color w:val="000000" w:themeColor="text1"/>
          <w:sz w:val="32"/>
          <w:szCs w:val="40"/>
          <w:highlight w:val="none"/>
          <w:lang w:eastAsia="zh-CN"/>
          <w14:textFill>
            <w14:solidFill>
              <w14:schemeClr w14:val="tx1"/>
            </w14:solidFill>
          </w14:textFill>
        </w:rPr>
        <w:t>，</w:t>
      </w:r>
      <w:r>
        <w:rPr>
          <w:rFonts w:hint="eastAsia" w:ascii="仿宋" w:hAnsi="仿宋" w:eastAsia="仿宋" w:cs="仿宋"/>
          <w:color w:val="000000" w:themeColor="text1"/>
          <w:sz w:val="32"/>
          <w:szCs w:val="40"/>
          <w:highlight w:val="none"/>
          <w14:textFill>
            <w14:solidFill>
              <w14:schemeClr w14:val="tx1"/>
            </w14:solidFill>
          </w14:textFill>
        </w:rPr>
        <w:t>综合治理工业污染，开展土壤修复水资源保护等工作，确保全方位</w:t>
      </w:r>
      <w:r>
        <w:rPr>
          <w:rFonts w:hint="eastAsia" w:ascii="仿宋" w:hAnsi="仿宋" w:eastAsia="仿宋" w:cs="仿宋"/>
          <w:color w:val="000000" w:themeColor="text1"/>
          <w:sz w:val="32"/>
          <w:szCs w:val="40"/>
          <w:highlight w:val="none"/>
          <w:lang w:eastAsia="zh-CN"/>
          <w14:textFill>
            <w14:solidFill>
              <w14:schemeClr w14:val="tx1"/>
            </w14:solidFill>
          </w14:textFill>
        </w:rPr>
        <w:t>、</w:t>
      </w:r>
      <w:r>
        <w:rPr>
          <w:rFonts w:hint="eastAsia" w:ascii="仿宋" w:hAnsi="仿宋" w:eastAsia="仿宋" w:cs="仿宋"/>
          <w:color w:val="000000" w:themeColor="text1"/>
          <w:sz w:val="32"/>
          <w:szCs w:val="40"/>
          <w:highlight w:val="none"/>
          <w14:textFill>
            <w14:solidFill>
              <w14:schemeClr w14:val="tx1"/>
            </w14:solidFill>
          </w14:textFill>
        </w:rPr>
        <w:t>立体化消除致病因素，保障人民健康</w:t>
      </w:r>
      <w:r>
        <w:rPr>
          <w:rFonts w:hint="eastAsia" w:ascii="仿宋" w:hAnsi="仿宋" w:eastAsia="仿宋" w:cs="仿宋"/>
          <w:color w:val="000000" w:themeColor="text1"/>
          <w:sz w:val="32"/>
          <w:szCs w:val="40"/>
          <w:highlight w:val="none"/>
          <w:lang w:eastAsia="zh-CN"/>
          <w14:textFill>
            <w14:solidFill>
              <w14:schemeClr w14:val="tx1"/>
            </w14:solidFill>
          </w14:textFill>
        </w:rPr>
        <w:t>。</w:t>
      </w:r>
    </w:p>
    <w:p>
      <w:pPr>
        <w:keepNext w:val="0"/>
        <w:keepLines w:val="0"/>
        <w:pageBreakBefore w:val="0"/>
        <w:numPr>
          <w:ilvl w:val="0"/>
          <w:numId w:val="0"/>
        </w:numPr>
        <w:kinsoku/>
        <w:wordWrap/>
        <w:topLinePunct w:val="0"/>
        <w:autoSpaceDE/>
        <w:autoSpaceDN/>
        <w:bidi w:val="0"/>
        <w:spacing w:beforeLines="0" w:afterLines="0" w:line="560" w:lineRule="exact"/>
        <w:ind w:firstLine="643" w:firstLineChars="200"/>
        <w:jc w:val="both"/>
        <w:rPr>
          <w:rFonts w:hint="eastAsia" w:ascii="仿宋" w:hAnsi="仿宋" w:eastAsia="仿宋" w:cs="仿宋"/>
          <w:color w:val="000000" w:themeColor="text1"/>
          <w:sz w:val="32"/>
          <w:szCs w:val="40"/>
          <w:highlight w:val="none"/>
          <w:lang w:eastAsia="zh-CN"/>
          <w14:textFill>
            <w14:solidFill>
              <w14:schemeClr w14:val="tx1"/>
            </w14:solidFill>
          </w14:textFill>
        </w:rPr>
      </w:pPr>
      <w:r>
        <w:rPr>
          <w:rFonts w:hint="eastAsia" w:ascii="仿宋" w:hAnsi="仿宋" w:eastAsia="仿宋" w:cs="仿宋"/>
          <w:b/>
          <w:bCs/>
          <w:color w:val="000000" w:themeColor="text1"/>
          <w:sz w:val="32"/>
          <w:szCs w:val="40"/>
          <w:highlight w:val="none"/>
          <w14:textFill>
            <w14:solidFill>
              <w14:schemeClr w14:val="tx1"/>
            </w14:solidFill>
          </w14:textFill>
        </w:rPr>
        <w:t>倡导健康生活</w:t>
      </w:r>
      <w:r>
        <w:rPr>
          <w:rFonts w:hint="eastAsia" w:ascii="仿宋" w:hAnsi="仿宋" w:eastAsia="仿宋" w:cs="仿宋"/>
          <w:b/>
          <w:bCs/>
          <w:color w:val="000000" w:themeColor="text1"/>
          <w:sz w:val="32"/>
          <w:szCs w:val="40"/>
          <w:highlight w:val="none"/>
          <w:lang w:eastAsia="zh-CN"/>
          <w14:textFill>
            <w14:solidFill>
              <w14:schemeClr w14:val="tx1"/>
            </w14:solidFill>
          </w14:textFill>
        </w:rPr>
        <w:t>。</w:t>
      </w:r>
      <w:r>
        <w:rPr>
          <w:rFonts w:hint="eastAsia" w:ascii="仿宋" w:hAnsi="仿宋" w:eastAsia="仿宋" w:cs="仿宋"/>
          <w:color w:val="000000" w:themeColor="text1"/>
          <w:sz w:val="32"/>
          <w:szCs w:val="40"/>
          <w:highlight w:val="none"/>
          <w14:textFill>
            <w14:solidFill>
              <w14:schemeClr w14:val="tx1"/>
            </w14:solidFill>
          </w14:textFill>
        </w:rPr>
        <w:t>切实加强新时期爱国卫生工作，从倡导健康生活习惯入手</w:t>
      </w:r>
      <w:r>
        <w:rPr>
          <w:rFonts w:hint="eastAsia" w:ascii="仿宋" w:hAnsi="仿宋" w:eastAsia="仿宋" w:cs="仿宋"/>
          <w:color w:val="000000" w:themeColor="text1"/>
          <w:sz w:val="32"/>
          <w:szCs w:val="40"/>
          <w:highlight w:val="none"/>
          <w:lang w:eastAsia="zh-CN"/>
          <w14:textFill>
            <w14:solidFill>
              <w14:schemeClr w14:val="tx1"/>
            </w14:solidFill>
          </w14:textFill>
        </w:rPr>
        <w:t>，</w:t>
      </w:r>
      <w:r>
        <w:rPr>
          <w:rFonts w:hint="eastAsia" w:ascii="仿宋" w:hAnsi="仿宋" w:eastAsia="仿宋" w:cs="仿宋"/>
          <w:color w:val="000000" w:themeColor="text1"/>
          <w:sz w:val="32"/>
          <w:szCs w:val="40"/>
          <w:highlight w:val="none"/>
          <w14:textFill>
            <w14:solidFill>
              <w14:schemeClr w14:val="tx1"/>
            </w14:solidFill>
          </w14:textFill>
        </w:rPr>
        <w:t>奠定健康基础</w:t>
      </w:r>
      <w:r>
        <w:rPr>
          <w:rFonts w:hint="eastAsia" w:ascii="仿宋" w:hAnsi="仿宋" w:eastAsia="仿宋" w:cs="仿宋"/>
          <w:color w:val="000000" w:themeColor="text1"/>
          <w:sz w:val="32"/>
          <w:szCs w:val="40"/>
          <w:highlight w:val="none"/>
          <w:lang w:eastAsia="zh-CN"/>
          <w14:textFill>
            <w14:solidFill>
              <w14:schemeClr w14:val="tx1"/>
            </w14:solidFill>
          </w14:textFill>
        </w:rPr>
        <w:t>。</w:t>
      </w:r>
      <w:r>
        <w:rPr>
          <w:rFonts w:hint="eastAsia" w:ascii="仿宋" w:hAnsi="仿宋" w:eastAsia="仿宋" w:cs="仿宋"/>
          <w:color w:val="000000" w:themeColor="text1"/>
          <w:sz w:val="32"/>
          <w:szCs w:val="40"/>
          <w:highlight w:val="none"/>
          <w14:textFill>
            <w14:solidFill>
              <w14:schemeClr w14:val="tx1"/>
            </w14:solidFill>
          </w14:textFill>
        </w:rPr>
        <w:t>要树立健康强国理念，强化健康主人翁意识</w:t>
      </w:r>
      <w:r>
        <w:rPr>
          <w:rFonts w:hint="eastAsia" w:ascii="仿宋" w:hAnsi="仿宋" w:eastAsia="仿宋" w:cs="仿宋"/>
          <w:color w:val="000000" w:themeColor="text1"/>
          <w:sz w:val="32"/>
          <w:szCs w:val="40"/>
          <w:highlight w:val="none"/>
          <w:lang w:eastAsia="zh-CN"/>
          <w14:textFill>
            <w14:solidFill>
              <w14:schemeClr w14:val="tx1"/>
            </w14:solidFill>
          </w14:textFill>
        </w:rPr>
        <w:t>，</w:t>
      </w:r>
      <w:r>
        <w:rPr>
          <w:rFonts w:hint="eastAsia" w:ascii="仿宋" w:hAnsi="仿宋" w:eastAsia="仿宋" w:cs="仿宋"/>
          <w:color w:val="000000" w:themeColor="text1"/>
          <w:sz w:val="32"/>
          <w:szCs w:val="40"/>
          <w:highlight w:val="none"/>
          <w14:textFill>
            <w14:solidFill>
              <w14:schemeClr w14:val="tx1"/>
            </w14:solidFill>
          </w14:textFill>
        </w:rPr>
        <w:t>自觉摒弃不良生活习惯，合理膳食</w:t>
      </w:r>
      <w:r>
        <w:rPr>
          <w:rFonts w:hint="eastAsia" w:ascii="仿宋" w:hAnsi="仿宋" w:eastAsia="仿宋" w:cs="仿宋"/>
          <w:color w:val="000000" w:themeColor="text1"/>
          <w:sz w:val="32"/>
          <w:szCs w:val="40"/>
          <w:highlight w:val="none"/>
          <w:lang w:eastAsia="zh-CN"/>
          <w14:textFill>
            <w14:solidFill>
              <w14:schemeClr w14:val="tx1"/>
            </w14:solidFill>
          </w14:textFill>
        </w:rPr>
        <w:t>、</w:t>
      </w:r>
      <w:r>
        <w:rPr>
          <w:rFonts w:hint="eastAsia" w:ascii="仿宋" w:hAnsi="仿宋" w:eastAsia="仿宋" w:cs="仿宋"/>
          <w:color w:val="000000" w:themeColor="text1"/>
          <w:sz w:val="32"/>
          <w:szCs w:val="40"/>
          <w:highlight w:val="none"/>
          <w14:textFill>
            <w14:solidFill>
              <w14:schemeClr w14:val="tx1"/>
            </w14:solidFill>
          </w14:textFill>
        </w:rPr>
        <w:t>适量运动</w:t>
      </w:r>
      <w:r>
        <w:rPr>
          <w:rFonts w:hint="eastAsia" w:ascii="仿宋" w:hAnsi="仿宋" w:eastAsia="仿宋" w:cs="仿宋"/>
          <w:color w:val="000000" w:themeColor="text1"/>
          <w:sz w:val="32"/>
          <w:szCs w:val="40"/>
          <w:highlight w:val="none"/>
          <w:lang w:eastAsia="zh-CN"/>
          <w14:textFill>
            <w14:solidFill>
              <w14:schemeClr w14:val="tx1"/>
            </w14:solidFill>
          </w14:textFill>
        </w:rPr>
        <w:t>、</w:t>
      </w:r>
      <w:r>
        <w:rPr>
          <w:rFonts w:hint="eastAsia" w:ascii="仿宋" w:hAnsi="仿宋" w:eastAsia="仿宋" w:cs="仿宋"/>
          <w:color w:val="000000" w:themeColor="text1"/>
          <w:sz w:val="32"/>
          <w:szCs w:val="40"/>
          <w:highlight w:val="none"/>
          <w14:textFill>
            <w14:solidFill>
              <w14:schemeClr w14:val="tx1"/>
            </w14:solidFill>
          </w14:textFill>
        </w:rPr>
        <w:t>戒烟限酒</w:t>
      </w:r>
      <w:r>
        <w:rPr>
          <w:rFonts w:hint="eastAsia" w:ascii="仿宋" w:hAnsi="仿宋" w:eastAsia="仿宋" w:cs="仿宋"/>
          <w:color w:val="000000" w:themeColor="text1"/>
          <w:sz w:val="32"/>
          <w:szCs w:val="40"/>
          <w:highlight w:val="none"/>
          <w:lang w:eastAsia="zh-CN"/>
          <w14:textFill>
            <w14:solidFill>
              <w14:schemeClr w14:val="tx1"/>
            </w14:solidFill>
          </w14:textFill>
        </w:rPr>
        <w:t>、</w:t>
      </w:r>
      <w:r>
        <w:rPr>
          <w:rFonts w:hint="eastAsia" w:ascii="仿宋" w:hAnsi="仿宋" w:eastAsia="仿宋" w:cs="仿宋"/>
          <w:color w:val="000000" w:themeColor="text1"/>
          <w:sz w:val="32"/>
          <w:szCs w:val="40"/>
          <w:highlight w:val="none"/>
          <w14:textFill>
            <w14:solidFill>
              <w14:schemeClr w14:val="tx1"/>
            </w14:solidFill>
          </w14:textFill>
        </w:rPr>
        <w:t>心理平衡</w:t>
      </w:r>
      <w:r>
        <w:rPr>
          <w:rFonts w:hint="eastAsia" w:ascii="仿宋" w:hAnsi="仿宋" w:eastAsia="仿宋" w:cs="仿宋"/>
          <w:color w:val="000000" w:themeColor="text1"/>
          <w:sz w:val="32"/>
          <w:szCs w:val="40"/>
          <w:highlight w:val="none"/>
          <w:lang w:eastAsia="zh-CN"/>
          <w14:textFill>
            <w14:solidFill>
              <w14:schemeClr w14:val="tx1"/>
            </w14:solidFill>
          </w14:textFill>
        </w:rPr>
        <w:t>。</w:t>
      </w:r>
      <w:r>
        <w:rPr>
          <w:rFonts w:hint="eastAsia" w:ascii="仿宋" w:hAnsi="仿宋" w:eastAsia="仿宋" w:cs="仿宋"/>
          <w:color w:val="000000" w:themeColor="text1"/>
          <w:sz w:val="32"/>
          <w:szCs w:val="40"/>
          <w:highlight w:val="none"/>
          <w:lang w:val="en-US" w:eastAsia="zh-CN"/>
          <w14:textFill>
            <w14:solidFill>
              <w14:schemeClr w14:val="tx1"/>
            </w14:solidFill>
          </w14:textFill>
        </w:rPr>
        <w:t>要</w:t>
      </w:r>
      <w:r>
        <w:rPr>
          <w:rFonts w:hint="eastAsia" w:ascii="仿宋" w:hAnsi="仿宋" w:eastAsia="仿宋" w:cs="仿宋"/>
          <w:color w:val="000000" w:themeColor="text1"/>
          <w:sz w:val="32"/>
          <w:szCs w:val="40"/>
          <w:highlight w:val="none"/>
          <w14:textFill>
            <w14:solidFill>
              <w14:schemeClr w14:val="tx1"/>
            </w14:solidFill>
          </w14:textFill>
        </w:rPr>
        <w:t>定期开展居民健康素养监测和评估</w:t>
      </w:r>
      <w:r>
        <w:rPr>
          <w:rFonts w:hint="eastAsia" w:ascii="仿宋" w:hAnsi="仿宋" w:eastAsia="仿宋" w:cs="仿宋"/>
          <w:color w:val="000000" w:themeColor="text1"/>
          <w:sz w:val="32"/>
          <w:szCs w:val="40"/>
          <w:highlight w:val="none"/>
          <w:lang w:eastAsia="zh-CN"/>
          <w14:textFill>
            <w14:solidFill>
              <w14:schemeClr w14:val="tx1"/>
            </w14:solidFill>
          </w14:textFill>
        </w:rPr>
        <w:t>，</w:t>
      </w:r>
      <w:r>
        <w:rPr>
          <w:rFonts w:hint="eastAsia" w:ascii="仿宋" w:hAnsi="仿宋" w:eastAsia="仿宋" w:cs="仿宋"/>
          <w:color w:val="000000" w:themeColor="text1"/>
          <w:sz w:val="32"/>
          <w:szCs w:val="40"/>
          <w:highlight w:val="none"/>
          <w14:textFill>
            <w14:solidFill>
              <w14:schemeClr w14:val="tx1"/>
            </w14:solidFill>
          </w14:textFill>
        </w:rPr>
        <w:t>大力推进健康素养促进行动</w:t>
      </w:r>
      <w:r>
        <w:rPr>
          <w:rFonts w:hint="eastAsia" w:ascii="仿宋" w:hAnsi="仿宋" w:eastAsia="仿宋" w:cs="仿宋"/>
          <w:color w:val="000000" w:themeColor="text1"/>
          <w:sz w:val="32"/>
          <w:szCs w:val="40"/>
          <w:highlight w:val="none"/>
          <w:lang w:eastAsia="zh-CN"/>
          <w14:textFill>
            <w14:solidFill>
              <w14:schemeClr w14:val="tx1"/>
            </w14:solidFill>
          </w14:textFill>
        </w:rPr>
        <w:t>，</w:t>
      </w:r>
      <w:r>
        <w:rPr>
          <w:rFonts w:hint="eastAsia" w:ascii="仿宋" w:hAnsi="仿宋" w:eastAsia="仿宋" w:cs="仿宋"/>
          <w:color w:val="000000" w:themeColor="text1"/>
          <w:sz w:val="32"/>
          <w:szCs w:val="40"/>
          <w:highlight w:val="none"/>
          <w:lang w:val="en-US" w:eastAsia="zh-CN"/>
          <w14:textFill>
            <w14:solidFill>
              <w14:schemeClr w14:val="tx1"/>
            </w14:solidFill>
          </w14:textFill>
        </w:rPr>
        <w:t>以</w:t>
      </w:r>
      <w:r>
        <w:rPr>
          <w:rFonts w:hint="eastAsia" w:ascii="仿宋" w:hAnsi="仿宋" w:eastAsia="仿宋" w:cs="仿宋"/>
          <w:color w:val="000000" w:themeColor="text1"/>
          <w:sz w:val="32"/>
          <w:szCs w:val="40"/>
          <w:highlight w:val="none"/>
          <w14:textFill>
            <w14:solidFill>
              <w14:schemeClr w14:val="tx1"/>
            </w14:solidFill>
          </w14:textFill>
        </w:rPr>
        <w:t>健康大讲堂</w:t>
      </w:r>
      <w:r>
        <w:rPr>
          <w:rFonts w:hint="eastAsia" w:ascii="仿宋" w:hAnsi="仿宋" w:eastAsia="仿宋" w:cs="仿宋"/>
          <w:color w:val="000000" w:themeColor="text1"/>
          <w:sz w:val="32"/>
          <w:szCs w:val="40"/>
          <w:highlight w:val="none"/>
          <w:lang w:eastAsia="zh-CN"/>
          <w14:textFill>
            <w14:solidFill>
              <w14:schemeClr w14:val="tx1"/>
            </w14:solidFill>
          </w14:textFill>
        </w:rPr>
        <w:t>、</w:t>
      </w:r>
      <w:r>
        <w:rPr>
          <w:rFonts w:hint="eastAsia" w:ascii="仿宋" w:hAnsi="仿宋" w:eastAsia="仿宋" w:cs="仿宋"/>
          <w:color w:val="000000" w:themeColor="text1"/>
          <w:sz w:val="32"/>
          <w:szCs w:val="40"/>
          <w:highlight w:val="none"/>
          <w14:textFill>
            <w14:solidFill>
              <w14:schemeClr w14:val="tx1"/>
            </w14:solidFill>
          </w14:textFill>
        </w:rPr>
        <w:t>健康中国行等活动为载体，加强重点人群和特殊人群生活方式的指导和干预</w:t>
      </w:r>
      <w:r>
        <w:rPr>
          <w:rFonts w:hint="eastAsia" w:ascii="仿宋" w:hAnsi="仿宋" w:eastAsia="仿宋" w:cs="仿宋"/>
          <w:color w:val="000000" w:themeColor="text1"/>
          <w:sz w:val="32"/>
          <w:szCs w:val="40"/>
          <w:highlight w:val="none"/>
          <w:lang w:eastAsia="zh-CN"/>
          <w14:textFill>
            <w14:solidFill>
              <w14:schemeClr w14:val="tx1"/>
            </w14:solidFill>
          </w14:textFill>
        </w:rPr>
        <w:t>。</w:t>
      </w:r>
      <w:r>
        <w:rPr>
          <w:rFonts w:hint="eastAsia" w:ascii="仿宋" w:hAnsi="仿宋" w:eastAsia="仿宋" w:cs="仿宋"/>
          <w:color w:val="000000" w:themeColor="text1"/>
          <w:sz w:val="32"/>
          <w:szCs w:val="40"/>
          <w:highlight w:val="none"/>
          <w14:textFill>
            <w14:solidFill>
              <w14:schemeClr w14:val="tx1"/>
            </w14:solidFill>
          </w14:textFill>
        </w:rPr>
        <w:t>要以街道</w:t>
      </w:r>
      <w:r>
        <w:rPr>
          <w:rFonts w:hint="eastAsia" w:ascii="仿宋" w:hAnsi="仿宋" w:eastAsia="仿宋" w:cs="仿宋"/>
          <w:color w:val="000000" w:themeColor="text1"/>
          <w:sz w:val="32"/>
          <w:szCs w:val="40"/>
          <w:highlight w:val="none"/>
          <w:lang w:eastAsia="zh-CN"/>
          <w14:textFill>
            <w14:solidFill>
              <w14:schemeClr w14:val="tx1"/>
            </w14:solidFill>
          </w14:textFill>
        </w:rPr>
        <w:t>、</w:t>
      </w:r>
      <w:r>
        <w:rPr>
          <w:rFonts w:hint="eastAsia" w:ascii="仿宋" w:hAnsi="仿宋" w:eastAsia="仿宋" w:cs="仿宋"/>
          <w:color w:val="000000" w:themeColor="text1"/>
          <w:sz w:val="32"/>
          <w:szCs w:val="40"/>
          <w:highlight w:val="none"/>
          <w14:textFill>
            <w14:solidFill>
              <w14:schemeClr w14:val="tx1"/>
            </w14:solidFill>
          </w14:textFill>
        </w:rPr>
        <w:t>社区</w:t>
      </w:r>
      <w:r>
        <w:rPr>
          <w:rFonts w:hint="eastAsia" w:ascii="仿宋" w:hAnsi="仿宋" w:eastAsia="仿宋" w:cs="仿宋"/>
          <w:color w:val="000000" w:themeColor="text1"/>
          <w:sz w:val="32"/>
          <w:szCs w:val="40"/>
          <w:highlight w:val="none"/>
          <w:lang w:eastAsia="zh-CN"/>
          <w14:textFill>
            <w14:solidFill>
              <w14:schemeClr w14:val="tx1"/>
            </w14:solidFill>
          </w14:textFill>
        </w:rPr>
        <w:t>、</w:t>
      </w:r>
      <w:r>
        <w:rPr>
          <w:rFonts w:hint="eastAsia" w:ascii="仿宋" w:hAnsi="仿宋" w:eastAsia="仿宋" w:cs="仿宋"/>
          <w:color w:val="000000" w:themeColor="text1"/>
          <w:sz w:val="32"/>
          <w:szCs w:val="40"/>
          <w:highlight w:val="none"/>
          <w14:textFill>
            <w14:solidFill>
              <w14:schemeClr w14:val="tx1"/>
            </w14:solidFill>
          </w14:textFill>
        </w:rPr>
        <w:t>家庭等为重点，建设居民健康自我管理小组</w:t>
      </w:r>
      <w:r>
        <w:rPr>
          <w:rFonts w:hint="eastAsia" w:ascii="仿宋" w:hAnsi="仿宋" w:eastAsia="仿宋" w:cs="仿宋"/>
          <w:color w:val="000000" w:themeColor="text1"/>
          <w:sz w:val="32"/>
          <w:szCs w:val="40"/>
          <w:highlight w:val="none"/>
          <w:lang w:eastAsia="zh-CN"/>
          <w14:textFill>
            <w14:solidFill>
              <w14:schemeClr w14:val="tx1"/>
            </w14:solidFill>
          </w14:textFill>
        </w:rPr>
        <w:t>，</w:t>
      </w:r>
      <w:r>
        <w:rPr>
          <w:rFonts w:hint="eastAsia" w:ascii="仿宋" w:hAnsi="仿宋" w:eastAsia="仿宋" w:cs="仿宋"/>
          <w:color w:val="000000" w:themeColor="text1"/>
          <w:sz w:val="32"/>
          <w:szCs w:val="40"/>
          <w:highlight w:val="none"/>
          <w14:textFill>
            <w14:solidFill>
              <w14:schemeClr w14:val="tx1"/>
            </w14:solidFill>
          </w14:textFill>
        </w:rPr>
        <w:t>指导居民学习掌握自我管理知识技能，养成健康行为</w:t>
      </w:r>
      <w:r>
        <w:rPr>
          <w:rFonts w:hint="eastAsia" w:ascii="仿宋" w:hAnsi="仿宋" w:eastAsia="仿宋" w:cs="仿宋"/>
          <w:color w:val="000000" w:themeColor="text1"/>
          <w:sz w:val="32"/>
          <w:szCs w:val="40"/>
          <w:highlight w:val="none"/>
          <w:lang w:eastAsia="zh-CN"/>
          <w14:textFill>
            <w14:solidFill>
              <w14:schemeClr w14:val="tx1"/>
            </w14:solidFill>
          </w14:textFill>
        </w:rPr>
        <w:t>。</w:t>
      </w:r>
    </w:p>
    <w:p>
      <w:pPr>
        <w:keepNext w:val="0"/>
        <w:keepLines w:val="0"/>
        <w:pageBreakBefore w:val="0"/>
        <w:numPr>
          <w:ilvl w:val="0"/>
          <w:numId w:val="0"/>
        </w:numPr>
        <w:kinsoku/>
        <w:wordWrap/>
        <w:topLinePunct w:val="0"/>
        <w:autoSpaceDE/>
        <w:autoSpaceDN/>
        <w:bidi w:val="0"/>
        <w:spacing w:beforeLines="0" w:afterLines="0" w:line="560" w:lineRule="exact"/>
        <w:ind w:firstLine="643" w:firstLineChars="200"/>
        <w:jc w:val="both"/>
        <w:rPr>
          <w:rFonts w:hint="eastAsia" w:ascii="仿宋" w:hAnsi="仿宋" w:eastAsia="仿宋" w:cs="仿宋"/>
          <w:color w:val="000000" w:themeColor="text1"/>
          <w:sz w:val="32"/>
          <w:szCs w:val="40"/>
          <w:highlight w:val="none"/>
          <w14:textFill>
            <w14:solidFill>
              <w14:schemeClr w14:val="tx1"/>
            </w14:solidFill>
          </w14:textFill>
        </w:rPr>
      </w:pPr>
      <w:r>
        <w:rPr>
          <w:rFonts w:hint="eastAsia" w:ascii="仿宋" w:hAnsi="仿宋" w:eastAsia="仿宋" w:cs="仿宋"/>
          <w:b/>
          <w:bCs/>
          <w:color w:val="000000" w:themeColor="text1"/>
          <w:sz w:val="32"/>
          <w:szCs w:val="40"/>
          <w:highlight w:val="none"/>
          <w14:textFill>
            <w14:solidFill>
              <w14:schemeClr w14:val="tx1"/>
            </w14:solidFill>
          </w14:textFill>
        </w:rPr>
        <w:t>培</w:t>
      </w:r>
      <w:r>
        <w:rPr>
          <w:rFonts w:hint="eastAsia" w:ascii="仿宋" w:hAnsi="仿宋" w:eastAsia="仿宋" w:cs="仿宋"/>
          <w:b/>
          <w:bCs/>
          <w:color w:val="000000" w:themeColor="text1"/>
          <w:sz w:val="32"/>
          <w:szCs w:val="40"/>
          <w:highlight w:val="none"/>
          <w:lang w:val="en-US" w:eastAsia="zh-CN"/>
          <w14:textFill>
            <w14:solidFill>
              <w14:schemeClr w14:val="tx1"/>
            </w14:solidFill>
          </w14:textFill>
        </w:rPr>
        <w:t>育</w:t>
      </w:r>
      <w:r>
        <w:rPr>
          <w:rFonts w:hint="eastAsia" w:ascii="仿宋" w:hAnsi="仿宋" w:eastAsia="仿宋" w:cs="仿宋"/>
          <w:b/>
          <w:bCs/>
          <w:color w:val="000000" w:themeColor="text1"/>
          <w:sz w:val="32"/>
          <w:szCs w:val="40"/>
          <w:highlight w:val="none"/>
          <w14:textFill>
            <w14:solidFill>
              <w14:schemeClr w14:val="tx1"/>
            </w14:solidFill>
          </w14:textFill>
        </w:rPr>
        <w:t>健康细胞</w:t>
      </w:r>
      <w:r>
        <w:rPr>
          <w:rFonts w:hint="eastAsia" w:ascii="仿宋" w:hAnsi="仿宋" w:eastAsia="仿宋" w:cs="仿宋"/>
          <w:b/>
          <w:bCs/>
          <w:color w:val="000000" w:themeColor="text1"/>
          <w:sz w:val="32"/>
          <w:szCs w:val="40"/>
          <w:highlight w:val="none"/>
          <w:lang w:eastAsia="zh-CN"/>
          <w14:textFill>
            <w14:solidFill>
              <w14:schemeClr w14:val="tx1"/>
            </w14:solidFill>
          </w14:textFill>
        </w:rPr>
        <w:t>。</w:t>
      </w:r>
      <w:r>
        <w:rPr>
          <w:rFonts w:hint="eastAsia" w:ascii="仿宋" w:hAnsi="仿宋" w:eastAsia="仿宋" w:cs="仿宋"/>
          <w:color w:val="000000" w:themeColor="text1"/>
          <w:sz w:val="32"/>
          <w:szCs w:val="40"/>
          <w:highlight w:val="none"/>
          <w14:textFill>
            <w14:solidFill>
              <w14:schemeClr w14:val="tx1"/>
            </w14:solidFill>
          </w14:textFill>
        </w:rPr>
        <w:t>以健康促进示范区为统领</w:t>
      </w:r>
      <w:r>
        <w:rPr>
          <w:rFonts w:hint="eastAsia" w:ascii="仿宋" w:hAnsi="仿宋" w:eastAsia="仿宋" w:cs="仿宋"/>
          <w:color w:val="000000" w:themeColor="text1"/>
          <w:sz w:val="32"/>
          <w:szCs w:val="40"/>
          <w:highlight w:val="none"/>
          <w:lang w:eastAsia="zh-CN"/>
          <w14:textFill>
            <w14:solidFill>
              <w14:schemeClr w14:val="tx1"/>
            </w14:solidFill>
          </w14:textFill>
        </w:rPr>
        <w:t>，</w:t>
      </w:r>
      <w:r>
        <w:rPr>
          <w:rFonts w:hint="eastAsia" w:ascii="仿宋" w:hAnsi="仿宋" w:eastAsia="仿宋" w:cs="仿宋"/>
          <w:color w:val="000000" w:themeColor="text1"/>
          <w:sz w:val="32"/>
          <w:szCs w:val="40"/>
          <w:highlight w:val="none"/>
          <w14:textFill>
            <w14:solidFill>
              <w14:schemeClr w14:val="tx1"/>
            </w14:solidFill>
          </w14:textFill>
        </w:rPr>
        <w:t>实施健康细胞创建工程。</w:t>
      </w:r>
      <w:r>
        <w:rPr>
          <w:rFonts w:hint="eastAsia" w:ascii="仿宋" w:hAnsi="仿宋" w:eastAsia="仿宋" w:cs="仿宋"/>
          <w:color w:val="000000" w:themeColor="text1"/>
          <w:sz w:val="32"/>
          <w:szCs w:val="40"/>
          <w:highlight w:val="none"/>
          <w:lang w:val="en-US" w:eastAsia="zh-CN"/>
          <w14:textFill>
            <w14:solidFill>
              <w14:schemeClr w14:val="tx1"/>
            </w14:solidFill>
          </w14:textFill>
        </w:rPr>
        <w:t>要</w:t>
      </w:r>
      <w:r>
        <w:rPr>
          <w:rFonts w:hint="eastAsia" w:ascii="仿宋" w:hAnsi="仿宋" w:eastAsia="仿宋" w:cs="仿宋"/>
          <w:color w:val="000000" w:themeColor="text1"/>
          <w:sz w:val="32"/>
          <w:szCs w:val="40"/>
          <w:highlight w:val="none"/>
          <w14:textFill>
            <w14:solidFill>
              <w14:schemeClr w14:val="tx1"/>
            </w14:solidFill>
          </w14:textFill>
        </w:rPr>
        <w:t>全方位推进健康社区</w:t>
      </w:r>
      <w:r>
        <w:rPr>
          <w:rFonts w:hint="eastAsia" w:ascii="仿宋" w:hAnsi="仿宋" w:eastAsia="仿宋" w:cs="仿宋"/>
          <w:color w:val="000000" w:themeColor="text1"/>
          <w:sz w:val="32"/>
          <w:szCs w:val="40"/>
          <w:highlight w:val="none"/>
          <w:lang w:eastAsia="zh-CN"/>
          <w14:textFill>
            <w14:solidFill>
              <w14:schemeClr w14:val="tx1"/>
            </w14:solidFill>
          </w14:textFill>
        </w:rPr>
        <w:t>、</w:t>
      </w:r>
      <w:r>
        <w:rPr>
          <w:rFonts w:hint="eastAsia" w:ascii="仿宋" w:hAnsi="仿宋" w:eastAsia="仿宋" w:cs="仿宋"/>
          <w:color w:val="000000" w:themeColor="text1"/>
          <w:sz w:val="32"/>
          <w:szCs w:val="40"/>
          <w:highlight w:val="none"/>
          <w14:textFill>
            <w14:solidFill>
              <w14:schemeClr w14:val="tx1"/>
            </w14:solidFill>
          </w14:textFill>
        </w:rPr>
        <w:t>健康单位</w:t>
      </w:r>
      <w:r>
        <w:rPr>
          <w:rFonts w:hint="eastAsia" w:ascii="仿宋" w:hAnsi="仿宋" w:eastAsia="仿宋" w:cs="仿宋"/>
          <w:color w:val="000000" w:themeColor="text1"/>
          <w:sz w:val="32"/>
          <w:szCs w:val="40"/>
          <w:highlight w:val="none"/>
          <w:lang w:eastAsia="zh-CN"/>
          <w14:textFill>
            <w14:solidFill>
              <w14:schemeClr w14:val="tx1"/>
            </w14:solidFill>
          </w14:textFill>
        </w:rPr>
        <w:t>、</w:t>
      </w:r>
      <w:r>
        <w:rPr>
          <w:rFonts w:hint="eastAsia" w:ascii="仿宋" w:hAnsi="仿宋" w:eastAsia="仿宋" w:cs="仿宋"/>
          <w:color w:val="000000" w:themeColor="text1"/>
          <w:sz w:val="32"/>
          <w:szCs w:val="40"/>
          <w:highlight w:val="none"/>
          <w14:textFill>
            <w14:solidFill>
              <w14:schemeClr w14:val="tx1"/>
            </w14:solidFill>
          </w14:textFill>
        </w:rPr>
        <w:t>健康市场</w:t>
      </w:r>
      <w:r>
        <w:rPr>
          <w:rFonts w:hint="eastAsia" w:ascii="仿宋" w:hAnsi="仿宋" w:eastAsia="仿宋" w:cs="仿宋"/>
          <w:color w:val="000000" w:themeColor="text1"/>
          <w:sz w:val="32"/>
          <w:szCs w:val="40"/>
          <w:highlight w:val="none"/>
          <w:lang w:eastAsia="zh-CN"/>
          <w14:textFill>
            <w14:solidFill>
              <w14:schemeClr w14:val="tx1"/>
            </w14:solidFill>
          </w14:textFill>
        </w:rPr>
        <w:t>、</w:t>
      </w:r>
      <w:r>
        <w:rPr>
          <w:rFonts w:hint="eastAsia" w:ascii="仿宋" w:hAnsi="仿宋" w:eastAsia="仿宋" w:cs="仿宋"/>
          <w:color w:val="000000" w:themeColor="text1"/>
          <w:sz w:val="32"/>
          <w:szCs w:val="40"/>
          <w:highlight w:val="none"/>
          <w14:textFill>
            <w14:solidFill>
              <w14:schemeClr w14:val="tx1"/>
            </w14:solidFill>
          </w14:textFill>
        </w:rPr>
        <w:t>健康学校</w:t>
      </w:r>
      <w:r>
        <w:rPr>
          <w:rFonts w:hint="eastAsia" w:ascii="仿宋" w:hAnsi="仿宋" w:eastAsia="仿宋" w:cs="仿宋"/>
          <w:color w:val="000000" w:themeColor="text1"/>
          <w:sz w:val="32"/>
          <w:szCs w:val="40"/>
          <w:highlight w:val="none"/>
          <w:lang w:eastAsia="zh-CN"/>
          <w14:textFill>
            <w14:solidFill>
              <w14:schemeClr w14:val="tx1"/>
            </w14:solidFill>
          </w14:textFill>
        </w:rPr>
        <w:t>、</w:t>
      </w:r>
      <w:r>
        <w:rPr>
          <w:rFonts w:hint="eastAsia" w:ascii="仿宋" w:hAnsi="仿宋" w:eastAsia="仿宋" w:cs="仿宋"/>
          <w:color w:val="000000" w:themeColor="text1"/>
          <w:sz w:val="32"/>
          <w:szCs w:val="40"/>
          <w:highlight w:val="none"/>
          <w14:textFill>
            <w14:solidFill>
              <w14:schemeClr w14:val="tx1"/>
            </w14:solidFill>
          </w14:textFill>
        </w:rPr>
        <w:t>健康医院</w:t>
      </w:r>
      <w:r>
        <w:rPr>
          <w:rFonts w:hint="eastAsia" w:ascii="仿宋" w:hAnsi="仿宋" w:eastAsia="仿宋" w:cs="仿宋"/>
          <w:color w:val="000000" w:themeColor="text1"/>
          <w:sz w:val="32"/>
          <w:szCs w:val="40"/>
          <w:highlight w:val="none"/>
          <w:lang w:eastAsia="zh-CN"/>
          <w14:textFill>
            <w14:solidFill>
              <w14:schemeClr w14:val="tx1"/>
            </w14:solidFill>
          </w14:textFill>
        </w:rPr>
        <w:t>、</w:t>
      </w:r>
      <w:r>
        <w:rPr>
          <w:rFonts w:hint="eastAsia" w:ascii="仿宋" w:hAnsi="仿宋" w:eastAsia="仿宋" w:cs="仿宋"/>
          <w:color w:val="000000" w:themeColor="text1"/>
          <w:sz w:val="32"/>
          <w:szCs w:val="40"/>
          <w:highlight w:val="none"/>
          <w14:textFill>
            <w14:solidFill>
              <w14:schemeClr w14:val="tx1"/>
            </w14:solidFill>
          </w14:textFill>
        </w:rPr>
        <w:t>健康景区</w:t>
      </w:r>
      <w:r>
        <w:rPr>
          <w:rFonts w:hint="eastAsia" w:ascii="仿宋" w:hAnsi="仿宋" w:eastAsia="仿宋" w:cs="仿宋"/>
          <w:color w:val="000000" w:themeColor="text1"/>
          <w:sz w:val="32"/>
          <w:szCs w:val="40"/>
          <w:highlight w:val="none"/>
          <w:lang w:eastAsia="zh-CN"/>
          <w14:textFill>
            <w14:solidFill>
              <w14:schemeClr w14:val="tx1"/>
            </w14:solidFill>
          </w14:textFill>
        </w:rPr>
        <w:t>、</w:t>
      </w:r>
      <w:r>
        <w:rPr>
          <w:rFonts w:hint="eastAsia" w:ascii="仿宋" w:hAnsi="仿宋" w:eastAsia="仿宋" w:cs="仿宋"/>
          <w:color w:val="000000" w:themeColor="text1"/>
          <w:sz w:val="32"/>
          <w:szCs w:val="40"/>
          <w:highlight w:val="none"/>
          <w14:textFill>
            <w14:solidFill>
              <w14:schemeClr w14:val="tx1"/>
            </w14:solidFill>
          </w14:textFill>
        </w:rPr>
        <w:t>健康宾馆</w:t>
      </w:r>
      <w:r>
        <w:rPr>
          <w:rFonts w:hint="eastAsia" w:ascii="仿宋" w:hAnsi="仿宋" w:eastAsia="仿宋" w:cs="仿宋"/>
          <w:color w:val="000000" w:themeColor="text1"/>
          <w:sz w:val="32"/>
          <w:szCs w:val="40"/>
          <w:highlight w:val="none"/>
          <w:lang w:eastAsia="zh-CN"/>
          <w14:textFill>
            <w14:solidFill>
              <w14:schemeClr w14:val="tx1"/>
            </w14:solidFill>
          </w14:textFill>
        </w:rPr>
        <w:t>、</w:t>
      </w:r>
      <w:r>
        <w:rPr>
          <w:rFonts w:hint="eastAsia" w:ascii="仿宋" w:hAnsi="仿宋" w:eastAsia="仿宋" w:cs="仿宋"/>
          <w:color w:val="000000" w:themeColor="text1"/>
          <w:sz w:val="32"/>
          <w:szCs w:val="40"/>
          <w:highlight w:val="none"/>
          <w14:textFill>
            <w14:solidFill>
              <w14:schemeClr w14:val="tx1"/>
            </w14:solidFill>
          </w14:textFill>
        </w:rPr>
        <w:t>健康餐厅</w:t>
      </w:r>
      <w:r>
        <w:rPr>
          <w:rFonts w:hint="eastAsia" w:ascii="仿宋" w:hAnsi="仿宋" w:eastAsia="仿宋" w:cs="仿宋"/>
          <w:color w:val="000000" w:themeColor="text1"/>
          <w:sz w:val="32"/>
          <w:szCs w:val="40"/>
          <w:highlight w:val="none"/>
          <w:lang w:eastAsia="zh-CN"/>
          <w14:textFill>
            <w14:solidFill>
              <w14:schemeClr w14:val="tx1"/>
            </w14:solidFill>
          </w14:textFill>
        </w:rPr>
        <w:t>、</w:t>
      </w:r>
      <w:r>
        <w:rPr>
          <w:rFonts w:hint="eastAsia" w:ascii="仿宋" w:hAnsi="仿宋" w:eastAsia="仿宋" w:cs="仿宋"/>
          <w:color w:val="000000" w:themeColor="text1"/>
          <w:sz w:val="32"/>
          <w:szCs w:val="40"/>
          <w:highlight w:val="none"/>
          <w14:textFill>
            <w14:solidFill>
              <w14:schemeClr w14:val="tx1"/>
            </w14:solidFill>
          </w14:textFill>
        </w:rPr>
        <w:t>健康家庭的建设</w:t>
      </w:r>
      <w:r>
        <w:rPr>
          <w:rFonts w:hint="eastAsia" w:ascii="仿宋" w:hAnsi="仿宋" w:eastAsia="仿宋" w:cs="仿宋"/>
          <w:color w:val="000000" w:themeColor="text1"/>
          <w:sz w:val="32"/>
          <w:szCs w:val="40"/>
          <w:highlight w:val="none"/>
          <w:lang w:eastAsia="zh-CN"/>
          <w14:textFill>
            <w14:solidFill>
              <w14:schemeClr w14:val="tx1"/>
            </w14:solidFill>
          </w14:textFill>
        </w:rPr>
        <w:t>，</w:t>
      </w:r>
      <w:r>
        <w:rPr>
          <w:rFonts w:hint="eastAsia" w:ascii="仿宋" w:hAnsi="仿宋" w:eastAsia="仿宋" w:cs="仿宋"/>
          <w:color w:val="000000" w:themeColor="text1"/>
          <w:sz w:val="32"/>
          <w:szCs w:val="40"/>
          <w:highlight w:val="none"/>
          <w14:textFill>
            <w14:solidFill>
              <w14:schemeClr w14:val="tx1"/>
            </w14:solidFill>
          </w14:textFill>
        </w:rPr>
        <w:t>力争到2025年，全区健康细胞达到40%以上。</w:t>
      </w:r>
      <w:r>
        <w:rPr>
          <w:rFonts w:hint="eastAsia" w:ascii="仿宋" w:hAnsi="仿宋" w:eastAsia="仿宋" w:cs="仿宋"/>
          <w:color w:val="000000" w:themeColor="text1"/>
          <w:sz w:val="32"/>
          <w:szCs w:val="40"/>
          <w:highlight w:val="none"/>
          <w:lang w:val="en-US" w:eastAsia="zh-CN"/>
          <w14:textFill>
            <w14:solidFill>
              <w14:schemeClr w14:val="tx1"/>
            </w14:solidFill>
          </w14:textFill>
        </w:rPr>
        <w:t>要</w:t>
      </w:r>
      <w:r>
        <w:rPr>
          <w:rFonts w:hint="eastAsia" w:ascii="仿宋" w:hAnsi="仿宋" w:eastAsia="仿宋" w:cs="仿宋"/>
          <w:color w:val="000000" w:themeColor="text1"/>
          <w:sz w:val="32"/>
          <w:szCs w:val="40"/>
          <w:highlight w:val="none"/>
          <w14:textFill>
            <w14:solidFill>
              <w14:schemeClr w14:val="tx1"/>
            </w14:solidFill>
          </w14:textFill>
        </w:rPr>
        <w:t>强化组织领导，完善多部门协作机制，明确各行业主管部门</w:t>
      </w:r>
      <w:r>
        <w:rPr>
          <w:rFonts w:hint="eastAsia" w:ascii="仿宋" w:hAnsi="仿宋" w:eastAsia="仿宋" w:cs="仿宋"/>
          <w:color w:val="000000" w:themeColor="text1"/>
          <w:sz w:val="32"/>
          <w:szCs w:val="40"/>
          <w:highlight w:val="none"/>
          <w:lang w:val="en-US" w:eastAsia="zh-CN"/>
          <w14:textFill>
            <w14:solidFill>
              <w14:schemeClr w14:val="tx1"/>
            </w14:solidFill>
          </w14:textFill>
        </w:rPr>
        <w:t>牵头</w:t>
      </w:r>
      <w:r>
        <w:rPr>
          <w:rFonts w:hint="eastAsia" w:ascii="仿宋" w:hAnsi="仿宋" w:eastAsia="仿宋" w:cs="仿宋"/>
          <w:color w:val="000000" w:themeColor="text1"/>
          <w:sz w:val="32"/>
          <w:szCs w:val="40"/>
          <w:highlight w:val="none"/>
          <w14:textFill>
            <w14:solidFill>
              <w14:schemeClr w14:val="tx1"/>
            </w14:solidFill>
          </w14:textFill>
        </w:rPr>
        <w:t>抓</w:t>
      </w:r>
      <w:r>
        <w:rPr>
          <w:rFonts w:hint="eastAsia" w:ascii="仿宋" w:hAnsi="仿宋" w:eastAsia="仿宋" w:cs="仿宋"/>
          <w:color w:val="000000" w:themeColor="text1"/>
          <w:sz w:val="32"/>
          <w:szCs w:val="40"/>
          <w:highlight w:val="none"/>
          <w:lang w:val="en-US" w:eastAsia="zh-CN"/>
          <w14:textFill>
            <w14:solidFill>
              <w14:schemeClr w14:val="tx1"/>
            </w14:solidFill>
          </w14:textFill>
        </w:rPr>
        <w:t>实</w:t>
      </w:r>
      <w:r>
        <w:rPr>
          <w:rFonts w:hint="eastAsia" w:ascii="仿宋" w:hAnsi="仿宋" w:eastAsia="仿宋" w:cs="仿宋"/>
          <w:color w:val="000000" w:themeColor="text1"/>
          <w:sz w:val="32"/>
          <w:szCs w:val="40"/>
          <w:highlight w:val="none"/>
          <w14:textFill>
            <w14:solidFill>
              <w14:schemeClr w14:val="tx1"/>
            </w14:solidFill>
          </w14:textFill>
        </w:rPr>
        <w:t>责任，明确标准</w:t>
      </w:r>
      <w:r>
        <w:rPr>
          <w:rFonts w:hint="eastAsia" w:ascii="仿宋" w:hAnsi="仿宋" w:eastAsia="仿宋" w:cs="仿宋"/>
          <w:color w:val="000000" w:themeColor="text1"/>
          <w:sz w:val="32"/>
          <w:szCs w:val="40"/>
          <w:highlight w:val="none"/>
          <w:lang w:eastAsia="zh-CN"/>
          <w14:textFill>
            <w14:solidFill>
              <w14:schemeClr w14:val="tx1"/>
            </w14:solidFill>
          </w14:textFill>
        </w:rPr>
        <w:t>、</w:t>
      </w:r>
      <w:r>
        <w:rPr>
          <w:rFonts w:hint="eastAsia" w:ascii="仿宋" w:hAnsi="仿宋" w:eastAsia="仿宋" w:cs="仿宋"/>
          <w:color w:val="000000" w:themeColor="text1"/>
          <w:sz w:val="32"/>
          <w:szCs w:val="40"/>
          <w:highlight w:val="none"/>
          <w14:textFill>
            <w14:solidFill>
              <w14:schemeClr w14:val="tx1"/>
            </w14:solidFill>
          </w14:textFill>
        </w:rPr>
        <w:t>加强培训</w:t>
      </w:r>
      <w:r>
        <w:rPr>
          <w:rFonts w:hint="eastAsia" w:ascii="仿宋" w:hAnsi="仿宋" w:eastAsia="仿宋" w:cs="仿宋"/>
          <w:color w:val="000000" w:themeColor="text1"/>
          <w:sz w:val="32"/>
          <w:szCs w:val="40"/>
          <w:highlight w:val="none"/>
          <w:lang w:eastAsia="zh-CN"/>
          <w14:textFill>
            <w14:solidFill>
              <w14:schemeClr w14:val="tx1"/>
            </w14:solidFill>
          </w14:textFill>
        </w:rPr>
        <w:t>、</w:t>
      </w:r>
      <w:r>
        <w:rPr>
          <w:rFonts w:hint="eastAsia" w:ascii="仿宋" w:hAnsi="仿宋" w:eastAsia="仿宋" w:cs="仿宋"/>
          <w:color w:val="000000" w:themeColor="text1"/>
          <w:sz w:val="32"/>
          <w:szCs w:val="40"/>
          <w:highlight w:val="none"/>
          <w14:textFill>
            <w14:solidFill>
              <w14:schemeClr w14:val="tx1"/>
            </w14:solidFill>
          </w14:textFill>
        </w:rPr>
        <w:t>典型引路</w:t>
      </w:r>
      <w:r>
        <w:rPr>
          <w:rFonts w:hint="eastAsia" w:ascii="仿宋" w:hAnsi="仿宋" w:eastAsia="仿宋" w:cs="仿宋"/>
          <w:color w:val="000000" w:themeColor="text1"/>
          <w:sz w:val="32"/>
          <w:szCs w:val="40"/>
          <w:highlight w:val="none"/>
          <w:lang w:eastAsia="zh-CN"/>
          <w14:textFill>
            <w14:solidFill>
              <w14:schemeClr w14:val="tx1"/>
            </w14:solidFill>
          </w14:textFill>
        </w:rPr>
        <w:t>、</w:t>
      </w:r>
      <w:r>
        <w:rPr>
          <w:rFonts w:hint="eastAsia" w:ascii="仿宋" w:hAnsi="仿宋" w:eastAsia="仿宋" w:cs="仿宋"/>
          <w:color w:val="000000" w:themeColor="text1"/>
          <w:sz w:val="32"/>
          <w:szCs w:val="40"/>
          <w:highlight w:val="none"/>
          <w14:textFill>
            <w14:solidFill>
              <w14:schemeClr w14:val="tx1"/>
            </w14:solidFill>
          </w14:textFill>
        </w:rPr>
        <w:t>跟进督导</w:t>
      </w:r>
      <w:r>
        <w:rPr>
          <w:rFonts w:hint="eastAsia" w:ascii="仿宋" w:hAnsi="仿宋" w:eastAsia="仿宋" w:cs="仿宋"/>
          <w:color w:val="000000" w:themeColor="text1"/>
          <w:sz w:val="32"/>
          <w:szCs w:val="40"/>
          <w:highlight w:val="none"/>
          <w:lang w:eastAsia="zh-CN"/>
          <w14:textFill>
            <w14:solidFill>
              <w14:schemeClr w14:val="tx1"/>
            </w14:solidFill>
          </w14:textFill>
        </w:rPr>
        <w:t>、</w:t>
      </w:r>
      <w:r>
        <w:rPr>
          <w:rFonts w:hint="eastAsia" w:ascii="仿宋" w:hAnsi="仿宋" w:eastAsia="仿宋" w:cs="仿宋"/>
          <w:color w:val="000000" w:themeColor="text1"/>
          <w:sz w:val="32"/>
          <w:szCs w:val="40"/>
          <w:highlight w:val="none"/>
          <w14:textFill>
            <w14:solidFill>
              <w14:schemeClr w14:val="tx1"/>
            </w14:solidFill>
          </w14:textFill>
        </w:rPr>
        <w:t>效果评价一体化推进</w:t>
      </w:r>
      <w:r>
        <w:rPr>
          <w:rFonts w:hint="eastAsia" w:ascii="仿宋" w:hAnsi="仿宋" w:eastAsia="仿宋" w:cs="仿宋"/>
          <w:color w:val="000000" w:themeColor="text1"/>
          <w:sz w:val="32"/>
          <w:szCs w:val="40"/>
          <w:highlight w:val="none"/>
          <w:lang w:eastAsia="zh-CN"/>
          <w14:textFill>
            <w14:solidFill>
              <w14:schemeClr w14:val="tx1"/>
            </w14:solidFill>
          </w14:textFill>
        </w:rPr>
        <w:t>，</w:t>
      </w:r>
      <w:r>
        <w:rPr>
          <w:rFonts w:hint="eastAsia" w:ascii="仿宋" w:hAnsi="仿宋" w:eastAsia="仿宋" w:cs="仿宋"/>
          <w:color w:val="000000" w:themeColor="text1"/>
          <w:sz w:val="32"/>
          <w:szCs w:val="40"/>
          <w:highlight w:val="none"/>
          <w14:textFill>
            <w14:solidFill>
              <w14:schemeClr w14:val="tx1"/>
            </w14:solidFill>
          </w14:textFill>
        </w:rPr>
        <w:t>确保创建工作取得实效。</w:t>
      </w:r>
    </w:p>
    <w:p>
      <w:pPr>
        <w:pStyle w:val="2"/>
        <w:ind w:firstLine="643" w:firstLineChars="200"/>
        <w:jc w:val="both"/>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优化健康服务</w:t>
      </w:r>
      <w:r>
        <w:rPr>
          <w:rFonts w:hint="eastAsia" w:ascii="仿宋" w:hAnsi="仿宋" w:eastAsia="仿宋" w:cs="仿宋"/>
          <w:b/>
          <w:bCs/>
          <w:color w:val="000000" w:themeColor="text1"/>
          <w:lang w:eastAsia="zh-CN"/>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要进一步优化医疗卫生资源布局和结构</w:t>
      </w:r>
      <w:r>
        <w:rPr>
          <w:rFonts w:hint="eastAsia" w:ascii="仿宋" w:hAnsi="仿宋" w:eastAsia="仿宋" w:cs="仿宋"/>
          <w:color w:val="000000" w:themeColor="text1"/>
          <w:lang w:eastAsia="zh-CN"/>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中西</w:t>
      </w:r>
      <w:r>
        <w:rPr>
          <w:rFonts w:hint="eastAsia" w:ascii="仿宋" w:hAnsi="仿宋" w:eastAsia="仿宋" w:cs="仿宋"/>
          <w:color w:val="000000" w:themeColor="text1"/>
          <w:lang w:val="en-US" w:eastAsia="zh-CN"/>
          <w14:textFill>
            <w14:solidFill>
              <w14:schemeClr w14:val="tx1"/>
            </w14:solidFill>
          </w14:textFill>
        </w:rPr>
        <w:t>医</w:t>
      </w:r>
      <w:r>
        <w:rPr>
          <w:rFonts w:hint="eastAsia" w:ascii="仿宋" w:hAnsi="仿宋" w:eastAsia="仿宋" w:cs="仿宋"/>
          <w:color w:val="000000" w:themeColor="text1"/>
          <w14:textFill>
            <w14:solidFill>
              <w14:schemeClr w14:val="tx1"/>
            </w14:solidFill>
          </w14:textFill>
        </w:rPr>
        <w:t>并重，完善社区卫生综合服务功能，实现医疗卫生服务人群全覆盖</w:t>
      </w:r>
      <w:r>
        <w:rPr>
          <w:rFonts w:hint="eastAsia" w:ascii="仿宋" w:hAnsi="仿宋" w:eastAsia="仿宋" w:cs="仿宋"/>
          <w:color w:val="000000" w:themeColor="text1"/>
          <w:lang w:eastAsia="zh-CN"/>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要落实传染病监测预警</w:t>
      </w:r>
      <w:r>
        <w:rPr>
          <w:rFonts w:hint="eastAsia" w:ascii="仿宋" w:hAnsi="仿宋" w:eastAsia="仿宋" w:cs="仿宋"/>
          <w:color w:val="000000" w:themeColor="text1"/>
          <w:lang w:eastAsia="zh-CN"/>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定期</w:t>
      </w:r>
      <w:r>
        <w:rPr>
          <w:rFonts w:hint="eastAsia" w:ascii="仿宋" w:hAnsi="仿宋" w:eastAsia="仿宋" w:cs="仿宋"/>
          <w:color w:val="000000" w:themeColor="text1"/>
          <w:lang w:val="en-US" w:eastAsia="zh-CN"/>
          <w14:textFill>
            <w14:solidFill>
              <w14:schemeClr w14:val="tx1"/>
            </w14:solidFill>
          </w14:textFill>
        </w:rPr>
        <w:t>例会</w:t>
      </w:r>
      <w:r>
        <w:rPr>
          <w:rFonts w:hint="eastAsia" w:ascii="仿宋" w:hAnsi="仿宋" w:eastAsia="仿宋" w:cs="仿宋"/>
          <w:color w:val="000000" w:themeColor="text1"/>
          <w14:textFill>
            <w14:solidFill>
              <w14:schemeClr w14:val="tx1"/>
            </w14:solidFill>
          </w14:textFill>
        </w:rPr>
        <w:t>等措施</w:t>
      </w:r>
      <w:r>
        <w:rPr>
          <w:rFonts w:hint="eastAsia" w:ascii="仿宋" w:hAnsi="仿宋" w:eastAsia="仿宋" w:cs="仿宋"/>
          <w:color w:val="000000" w:themeColor="text1"/>
          <w:lang w:eastAsia="zh-CN"/>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强化联防联控和群防群控机制，构建防控重大传染病</w:t>
      </w:r>
      <w:r>
        <w:rPr>
          <w:rFonts w:hint="eastAsia" w:ascii="仿宋" w:hAnsi="仿宋" w:eastAsia="仿宋" w:cs="仿宋"/>
          <w:color w:val="000000" w:themeColor="text1"/>
          <w:lang w:val="en-US" w:eastAsia="zh-CN"/>
          <w14:textFill>
            <w14:solidFill>
              <w14:schemeClr w14:val="tx1"/>
            </w14:solidFill>
          </w14:textFill>
        </w:rPr>
        <w:t>发</w:t>
      </w:r>
      <w:r>
        <w:rPr>
          <w:rFonts w:hint="eastAsia" w:ascii="仿宋" w:hAnsi="仿宋" w:eastAsia="仿宋" w:cs="仿宋"/>
          <w:color w:val="000000" w:themeColor="text1"/>
          <w14:textFill>
            <w14:solidFill>
              <w14:schemeClr w14:val="tx1"/>
            </w14:solidFill>
          </w14:textFill>
        </w:rPr>
        <w:t>生和流行的坚实屏障，要完善健康管理模式，建立全人群</w:t>
      </w:r>
      <w:r>
        <w:rPr>
          <w:rFonts w:hint="eastAsia" w:ascii="仿宋" w:hAnsi="仿宋" w:eastAsia="仿宋" w:cs="仿宋"/>
          <w:color w:val="000000" w:themeColor="text1"/>
          <w:lang w:eastAsia="zh-CN"/>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全生命周期的健康管理体系</w:t>
      </w:r>
      <w:r>
        <w:rPr>
          <w:rFonts w:hint="eastAsia" w:ascii="仿宋" w:hAnsi="仿宋" w:eastAsia="仿宋" w:cs="仿宋"/>
          <w:color w:val="000000" w:themeColor="text1"/>
          <w:lang w:eastAsia="zh-CN"/>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要以区域性居家养老服务中心等为重点</w:t>
      </w:r>
      <w:r>
        <w:rPr>
          <w:rFonts w:hint="eastAsia" w:ascii="仿宋" w:hAnsi="仿宋" w:eastAsia="仿宋" w:cs="仿宋"/>
          <w:color w:val="000000" w:themeColor="text1"/>
          <w:lang w:eastAsia="zh-CN"/>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建立各层次的养老服务体系</w:t>
      </w:r>
      <w:r>
        <w:rPr>
          <w:rFonts w:hint="eastAsia" w:ascii="仿宋" w:hAnsi="仿宋" w:eastAsia="仿宋" w:cs="仿宋"/>
          <w:color w:val="000000" w:themeColor="text1"/>
          <w:lang w:eastAsia="zh-CN"/>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全面提升老年人的健康养老水平</w:t>
      </w:r>
      <w:r>
        <w:rPr>
          <w:rFonts w:hint="eastAsia" w:ascii="仿宋" w:hAnsi="仿宋" w:eastAsia="仿宋" w:cs="仿宋"/>
          <w:color w:val="000000" w:themeColor="text1"/>
          <w:lang w:eastAsia="zh-CN"/>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要实施全民健身战略，完善公共体育服务体系</w:t>
      </w:r>
      <w:r>
        <w:rPr>
          <w:rFonts w:hint="eastAsia" w:ascii="仿宋" w:hAnsi="仿宋" w:eastAsia="仿宋" w:cs="仿宋"/>
          <w:color w:val="000000" w:themeColor="text1"/>
          <w:lang w:eastAsia="zh-CN"/>
          <w14:textFill>
            <w14:solidFill>
              <w14:schemeClr w14:val="tx1"/>
            </w14:solidFill>
          </w14:textFill>
        </w:rPr>
        <w:t>。</w:t>
      </w:r>
    </w:p>
    <w:p>
      <w:pPr>
        <w:pStyle w:val="3"/>
        <w:keepNext w:val="0"/>
        <w:keepLines w:val="0"/>
        <w:pageBreakBefore w:val="0"/>
        <w:widowControl w:val="0"/>
        <w:numPr>
          <w:ilvl w:val="0"/>
          <w:numId w:val="0"/>
        </w:numPr>
        <w:kinsoku/>
        <w:wordWrap/>
        <w:topLinePunct w:val="0"/>
        <w:autoSpaceDE/>
        <w:autoSpaceDN/>
        <w:bidi w:val="0"/>
        <w:adjustRightInd/>
        <w:snapToGrid/>
        <w:spacing w:before="0" w:beforeAutospacing="0" w:after="0" w:afterAutospacing="0" w:line="560" w:lineRule="exact"/>
        <w:ind w:firstLine="640" w:firstLineChars="200"/>
        <w:jc w:val="both"/>
        <w:rPr>
          <w:rFonts w:hint="eastAsia" w:ascii="楷体" w:hAnsi="楷体" w:eastAsia="楷体" w:cs="楷体"/>
          <w:b w:val="0"/>
          <w:bCs w:val="0"/>
          <w:color w:val="000000" w:themeColor="text1"/>
          <w:kern w:val="2"/>
          <w:sz w:val="32"/>
          <w:szCs w:val="32"/>
          <w:highlight w:val="none"/>
          <w:lang w:val="en-US" w:eastAsia="zh-CN"/>
          <w14:textFill>
            <w14:solidFill>
              <w14:schemeClr w14:val="tx1"/>
            </w14:solidFill>
          </w14:textFill>
        </w:rPr>
      </w:pPr>
      <w:r>
        <w:rPr>
          <w:rFonts w:hint="eastAsia" w:ascii="楷体" w:hAnsi="楷体" w:eastAsia="楷体" w:cs="楷体"/>
          <w:b w:val="0"/>
          <w:bCs w:val="0"/>
          <w:color w:val="000000" w:themeColor="text1"/>
          <w:kern w:val="2"/>
          <w:sz w:val="32"/>
          <w:szCs w:val="32"/>
          <w:highlight w:val="none"/>
          <w:lang w:val="en-US" w:eastAsia="zh-CN"/>
          <w14:textFill>
            <w14:solidFill>
              <w14:schemeClr w14:val="tx1"/>
            </w14:solidFill>
          </w14:textFill>
        </w:rPr>
        <w:t>（二）以集团建设为统领，完善医疗体系</w:t>
      </w:r>
    </w:p>
    <w:p>
      <w:pPr>
        <w:ind w:firstLine="643" w:firstLineChars="200"/>
        <w:jc w:val="both"/>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40"/>
          <w:lang w:val="en-US" w:eastAsia="zh-CN"/>
          <w14:textFill>
            <w14:solidFill>
              <w14:schemeClr w14:val="tx1"/>
            </w14:solidFill>
          </w14:textFill>
        </w:rPr>
        <w:t>做强区域医疗集团。</w:t>
      </w:r>
      <w:r>
        <w:rPr>
          <w:rFonts w:hint="eastAsia" w:ascii="仿宋" w:hAnsi="仿宋" w:eastAsia="仿宋" w:cs="仿宋"/>
          <w:color w:val="000000" w:themeColor="text1"/>
          <w:sz w:val="32"/>
          <w:szCs w:val="40"/>
          <w:lang w:val="en-US" w:eastAsia="zh-CN"/>
          <w14:textFill>
            <w14:solidFill>
              <w14:schemeClr w14:val="tx1"/>
            </w14:solidFill>
          </w14:textFill>
        </w:rPr>
        <w:t>整合全区医疗资源，</w:t>
      </w:r>
      <w:r>
        <w:rPr>
          <w:rFonts w:hint="eastAsia" w:ascii="仿宋" w:hAnsi="仿宋" w:eastAsia="仿宋" w:cs="仿宋"/>
          <w:color w:val="000000" w:themeColor="text1"/>
          <w:sz w:val="32"/>
          <w:szCs w:val="40"/>
          <w14:textFill>
            <w14:solidFill>
              <w14:schemeClr w14:val="tx1"/>
            </w14:solidFill>
          </w14:textFill>
        </w:rPr>
        <w:t>建立覆盖区、街、村的三级医疗机构</w:t>
      </w:r>
      <w:r>
        <w:rPr>
          <w:rFonts w:hint="eastAsia" w:ascii="仿宋" w:hAnsi="仿宋" w:eastAsia="仿宋" w:cs="仿宋"/>
          <w:color w:val="000000" w:themeColor="text1"/>
          <w:sz w:val="32"/>
          <w:szCs w:val="40"/>
          <w:lang w:eastAsia="zh-CN"/>
          <w14:textFill>
            <w14:solidFill>
              <w14:schemeClr w14:val="tx1"/>
            </w14:solidFill>
          </w14:textFill>
        </w:rPr>
        <w:t>，</w:t>
      </w:r>
      <w:r>
        <w:rPr>
          <w:rFonts w:hint="eastAsia" w:ascii="仿宋" w:hAnsi="仿宋" w:eastAsia="仿宋" w:cs="仿宋"/>
          <w:color w:val="000000" w:themeColor="text1"/>
          <w:sz w:val="32"/>
          <w:szCs w:val="40"/>
          <w14:textFill>
            <w14:solidFill>
              <w14:schemeClr w14:val="tx1"/>
            </w14:solidFill>
          </w14:textFill>
        </w:rPr>
        <w:t>打造现代化三级医疗服务体系</w:t>
      </w:r>
      <w:r>
        <w:rPr>
          <w:rFonts w:hint="eastAsia" w:ascii="仿宋" w:hAnsi="仿宋" w:eastAsia="仿宋" w:cs="仿宋"/>
          <w:color w:val="000000" w:themeColor="text1"/>
          <w:sz w:val="32"/>
          <w:szCs w:val="40"/>
          <w:lang w:eastAsia="zh-CN"/>
          <w14:textFill>
            <w14:solidFill>
              <w14:schemeClr w14:val="tx1"/>
            </w14:solidFill>
          </w14:textFill>
        </w:rPr>
        <w:t>，</w:t>
      </w:r>
      <w:r>
        <w:rPr>
          <w:rFonts w:hint="eastAsia" w:ascii="仿宋" w:hAnsi="仿宋" w:eastAsia="仿宋" w:cs="仿宋"/>
          <w:color w:val="000000" w:themeColor="text1"/>
          <w:sz w:val="32"/>
          <w:szCs w:val="40"/>
          <w14:textFill>
            <w14:solidFill>
              <w14:schemeClr w14:val="tx1"/>
            </w14:solidFill>
          </w14:textFill>
        </w:rPr>
        <w:t>实现全区医疗网格化布局</w:t>
      </w:r>
      <w:r>
        <w:rPr>
          <w:rFonts w:hint="eastAsia" w:ascii="仿宋" w:hAnsi="仿宋" w:eastAsia="仿宋" w:cs="仿宋"/>
          <w:color w:val="000000" w:themeColor="text1"/>
          <w:sz w:val="32"/>
          <w:szCs w:val="40"/>
          <w:lang w:eastAsia="zh-CN"/>
          <w14:textFill>
            <w14:solidFill>
              <w14:schemeClr w14:val="tx1"/>
            </w14:solidFill>
          </w14:textFill>
        </w:rPr>
        <w:t>、</w:t>
      </w:r>
      <w:r>
        <w:rPr>
          <w:rFonts w:hint="eastAsia" w:ascii="仿宋" w:hAnsi="仿宋" w:eastAsia="仿宋" w:cs="仿宋"/>
          <w:color w:val="000000" w:themeColor="text1"/>
          <w:sz w:val="32"/>
          <w:szCs w:val="40"/>
          <w:lang w:val="en-US" w:eastAsia="zh-CN"/>
          <w14:textFill>
            <w14:solidFill>
              <w14:schemeClr w14:val="tx1"/>
            </w14:solidFill>
          </w14:textFill>
        </w:rPr>
        <w:t>一体化管理</w:t>
      </w:r>
      <w:r>
        <w:rPr>
          <w:rFonts w:hint="eastAsia" w:ascii="仿宋" w:hAnsi="仿宋" w:eastAsia="仿宋" w:cs="仿宋"/>
          <w:color w:val="000000" w:themeColor="text1"/>
          <w:sz w:val="32"/>
          <w:szCs w:val="40"/>
          <w:lang w:eastAsia="zh-CN"/>
          <w14:textFill>
            <w14:solidFill>
              <w14:schemeClr w14:val="tx1"/>
            </w14:solidFill>
          </w14:textFill>
        </w:rPr>
        <w:t>，</w:t>
      </w:r>
      <w:r>
        <w:rPr>
          <w:rFonts w:hint="eastAsia" w:ascii="仿宋" w:hAnsi="仿宋" w:eastAsia="仿宋" w:cs="仿宋"/>
          <w:color w:val="000000" w:themeColor="text1"/>
          <w:sz w:val="32"/>
          <w:szCs w:val="40"/>
          <w:lang w:val="en-US" w:eastAsia="zh-CN"/>
          <w14:textFill>
            <w14:solidFill>
              <w14:schemeClr w14:val="tx1"/>
            </w14:solidFill>
          </w14:textFill>
        </w:rPr>
        <w:t>让全域百姓</w:t>
      </w:r>
      <w:r>
        <w:rPr>
          <w:rFonts w:hint="eastAsia" w:ascii="仿宋" w:hAnsi="仿宋" w:eastAsia="仿宋" w:cs="仿宋"/>
          <w:color w:val="000000" w:themeColor="text1"/>
          <w:sz w:val="32"/>
          <w:szCs w:val="32"/>
          <w:lang w:val="en-US" w:eastAsia="zh-CN"/>
          <w14:textFill>
            <w14:solidFill>
              <w14:schemeClr w14:val="tx1"/>
            </w14:solidFill>
          </w14:textFill>
        </w:rPr>
        <w:t>都</w:t>
      </w:r>
      <w:r>
        <w:rPr>
          <w:rFonts w:hint="eastAsia" w:ascii="仿宋" w:hAnsi="仿宋" w:eastAsia="仿宋" w:cs="仿宋"/>
          <w:color w:val="000000" w:themeColor="text1"/>
          <w:sz w:val="32"/>
          <w:szCs w:val="32"/>
          <w14:textFill>
            <w14:solidFill>
              <w14:schemeClr w14:val="tx1"/>
            </w14:solidFill>
          </w14:textFill>
        </w:rPr>
        <w:t>可享受到全区最佳的医疗资源</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加强基层医疗机构基础设施建设，弥补新增行政区域医疗机构布局缺口，新建道义社区卫生服务中心；翻新基层医疗机构用房，原址新建黄家乡卫生院；规划未来学科发展方向，新建区中西医结合医院；提升集团消毒供应能力，新建集团消毒供应中心；强化院前急救水平，新建急诊重症监护室；打造区域15分钟急救圈，增设120急救分站。</w:t>
      </w:r>
    </w:p>
    <w:p>
      <w:pPr>
        <w:ind w:firstLine="643" w:firstLineChars="200"/>
        <w:jc w:val="both"/>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搭建健康信息平台。</w:t>
      </w:r>
      <w:r>
        <w:rPr>
          <w:rFonts w:hint="eastAsia" w:ascii="仿宋" w:hAnsi="仿宋" w:eastAsia="仿宋" w:cs="仿宋"/>
          <w:color w:val="000000" w:themeColor="text1"/>
          <w:sz w:val="32"/>
          <w:szCs w:val="32"/>
          <w:lang w:val="en-US" w:eastAsia="zh-CN"/>
          <w14:textFill>
            <w14:solidFill>
              <w14:schemeClr w14:val="tx1"/>
            </w14:solidFill>
          </w14:textFill>
        </w:rPr>
        <w:t>积极响应国家信息化建设的倡议，进行</w:t>
      </w:r>
      <w:r>
        <w:rPr>
          <w:rFonts w:hint="eastAsia" w:ascii="仿宋" w:hAnsi="仿宋" w:eastAsia="仿宋" w:cs="仿宋"/>
          <w:color w:val="000000" w:themeColor="text1"/>
          <w:sz w:val="32"/>
          <w:szCs w:val="32"/>
          <w:highlight w:val="none"/>
          <w:lang w:val="en-US" w:eastAsia="zh-CN"/>
          <w14:textFill>
            <w14:solidFill>
              <w14:schemeClr w14:val="tx1"/>
            </w14:solidFill>
          </w14:textFill>
        </w:rPr>
        <w:t>新兴信息化服务与医疗技术的深度整合，打破我区医疗信息化程度低、发展滞后的困境，利用信息化网络平台，完善人口健康信息的电子化档案，进一步发挥网络信息优势，不断优化医疗系统管理。建立电子病历系统，实现医疗档案无纸化存储和域内实时共享；建立远程会诊中心，实现基层医疗机构的远程诊断和双向转诊；建立公卫系统，实现妇幼、公卫监督、综合监管、传染病、慢病、精防、预防接种等业务指导；建立业务监督管理系统，实现集团主管部门对医疗、人事、财务、后勤、医保资金管理、家庭签约服务等多项业务的监督。</w:t>
      </w:r>
    </w:p>
    <w:p>
      <w:pPr>
        <w:ind w:firstLine="643" w:firstLineChars="200"/>
        <w:jc w:val="both"/>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推进中医事业发展。</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完善中医服务体系，以沈北新区中医院和拟建沈北新区中西医结合医院为中心，推进我区中医事业发展，鼓励区域医疗机构设置中医临床科室，有条件的可设置中医妇科、中医儿科等中医特色专科。全面提升中医服务质量，中医医院和中医科室要不断提高中医药技术在急危重症、疑难复杂疾病、常见病、多发病、慢性病、精神疾病的救治和康复作用。加强中医队伍建设</w:t>
      </w:r>
      <w:r>
        <w:rPr>
          <w:rFonts w:hint="eastAsia" w:ascii="仿宋" w:hAnsi="仿宋" w:eastAsia="仿宋" w:cs="仿宋"/>
          <w:color w:val="000000" w:themeColor="text1"/>
          <w:sz w:val="32"/>
          <w:szCs w:val="32"/>
          <w:highlight w:val="none"/>
          <w:lang w:val="en-US" w:eastAsia="zh-CN"/>
          <w14:textFill>
            <w14:solidFill>
              <w14:schemeClr w14:val="tx1"/>
            </w14:solidFill>
          </w14:textFill>
        </w:rPr>
        <w:t>，提高中医药在突发公共卫生事件中的应急作用。促进中西医结合，开展中西医临床协作，鼓励中医西医相互学习，发挥各自优势，引导中医治疗和康复方案在院内会诊中发挥重要作用。发展中医特色康复服务，支持区中医院和中西医结合医院中医康复科建设，大力发展基层医疗机构的中医特色康复医疗、训练指导、知识普及。</w:t>
      </w:r>
    </w:p>
    <w:p>
      <w:pPr>
        <w:ind w:firstLine="643" w:firstLineChars="200"/>
        <w:jc w:val="both"/>
        <w:rPr>
          <w:rFonts w:hint="default" w:ascii="仿宋" w:hAnsi="仿宋" w:eastAsia="仿宋" w:cs="仿宋"/>
          <w:b w:val="0"/>
          <w:color w:val="000000" w:themeColor="text1"/>
          <w:kern w:val="2"/>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鼓励社会办医行为。</w:t>
      </w:r>
      <w:r>
        <w:rPr>
          <w:rFonts w:hint="eastAsia" w:ascii="仿宋" w:hAnsi="仿宋" w:eastAsia="仿宋" w:cs="仿宋"/>
          <w:color w:val="000000" w:themeColor="text1"/>
          <w:sz w:val="32"/>
          <w:szCs w:val="32"/>
          <w:highlight w:val="none"/>
          <w:lang w:val="en-US" w:eastAsia="zh-CN"/>
          <w14:textFill>
            <w14:solidFill>
              <w14:schemeClr w14:val="tx1"/>
            </w14:solidFill>
          </w14:textFill>
        </w:rPr>
        <w:t>明确社会办医的重要作用，统筹规划公立医疗机构和社会办医布局，鼓励</w:t>
      </w:r>
      <w:r>
        <w:rPr>
          <w:rFonts w:hint="eastAsia" w:ascii="仿宋" w:hAnsi="仿宋" w:eastAsia="仿宋" w:cs="仿宋"/>
          <w:b w:val="0"/>
          <w:color w:val="000000" w:themeColor="text1"/>
          <w:kern w:val="2"/>
          <w:sz w:val="32"/>
          <w:szCs w:val="32"/>
          <w:highlight w:val="none"/>
          <w:lang w:val="en-US" w:eastAsia="zh-CN" w:bidi="ar-SA"/>
          <w14:textFill>
            <w14:solidFill>
              <w14:schemeClr w14:val="tx1"/>
            </w14:solidFill>
          </w14:textFill>
        </w:rPr>
        <w:t>社会办医作为医疗能力的补充，完善全区一体化网格布局。探索多元合作方式，支持公立医疗机构和社会办医开展医疗业务、学科建设、人才培养等合作。加强对社会办医的监督指导，落实医疗质量安全管理，加强对医务人员的定期考核和执业行为管理。完善医保政策支持，加强业务指导，将更多符合条件的社会办医纳入基本医疗保险定点医疗机构，鼓励商业保险机构与社会办医合作，和基本医疗保险形成互补。</w:t>
      </w:r>
    </w:p>
    <w:p>
      <w:pPr>
        <w:pStyle w:val="3"/>
        <w:keepNext w:val="0"/>
        <w:keepLines w:val="0"/>
        <w:pageBreakBefore w:val="0"/>
        <w:widowControl w:val="0"/>
        <w:numPr>
          <w:ilvl w:val="0"/>
          <w:numId w:val="0"/>
        </w:numPr>
        <w:kinsoku/>
        <w:wordWrap/>
        <w:topLinePunct w:val="0"/>
        <w:autoSpaceDE/>
        <w:autoSpaceDN/>
        <w:bidi w:val="0"/>
        <w:adjustRightInd/>
        <w:snapToGrid/>
        <w:spacing w:before="0" w:beforeAutospacing="0" w:after="0" w:afterAutospacing="0" w:line="560" w:lineRule="exact"/>
        <w:ind w:firstLine="640" w:firstLineChars="200"/>
        <w:jc w:val="both"/>
        <w:rPr>
          <w:rFonts w:hint="eastAsia" w:ascii="楷体" w:hAnsi="楷体" w:eastAsia="楷体" w:cs="楷体"/>
          <w:b w:val="0"/>
          <w:bCs w:val="0"/>
          <w:color w:val="000000" w:themeColor="text1"/>
          <w:kern w:val="2"/>
          <w:sz w:val="32"/>
          <w:szCs w:val="32"/>
          <w:highlight w:val="none"/>
          <w:lang w:val="en-US" w:eastAsia="zh-CN"/>
          <w14:textFill>
            <w14:solidFill>
              <w14:schemeClr w14:val="tx1"/>
            </w14:solidFill>
          </w14:textFill>
        </w:rPr>
      </w:pPr>
      <w:r>
        <w:rPr>
          <w:rFonts w:hint="eastAsia" w:ascii="楷体" w:hAnsi="楷体" w:eastAsia="楷体" w:cs="楷体"/>
          <w:b w:val="0"/>
          <w:bCs w:val="0"/>
          <w:color w:val="000000" w:themeColor="text1"/>
          <w:kern w:val="2"/>
          <w:sz w:val="32"/>
          <w:szCs w:val="32"/>
          <w:highlight w:val="none"/>
          <w:lang w:val="en-US" w:eastAsia="zh-CN"/>
          <w14:textFill>
            <w14:solidFill>
              <w14:schemeClr w14:val="tx1"/>
            </w14:solidFill>
          </w14:textFill>
        </w:rPr>
        <w:t>（三）以深化改革为动力，提升服务能力</w:t>
      </w:r>
    </w:p>
    <w:p>
      <w:pPr>
        <w:ind w:firstLine="643" w:firstLineChars="200"/>
        <w:jc w:val="both"/>
        <w:rPr>
          <w:rFonts w:hint="eastAsia" w:ascii="仿宋" w:hAnsi="仿宋" w:eastAsia="仿宋" w:cs="仿宋"/>
          <w:color w:val="000000" w:themeColor="text1"/>
          <w:sz w:val="32"/>
          <w:szCs w:val="40"/>
          <w:lang w:eastAsia="zh-CN"/>
          <w14:textFill>
            <w14:solidFill>
              <w14:schemeClr w14:val="tx1"/>
            </w14:solidFill>
          </w14:textFill>
        </w:rPr>
      </w:pPr>
      <w:r>
        <w:rPr>
          <w:rFonts w:hint="eastAsia" w:ascii="仿宋" w:hAnsi="仿宋" w:eastAsia="仿宋" w:cs="仿宋"/>
          <w:b/>
          <w:bCs/>
          <w:color w:val="000000" w:themeColor="text1"/>
          <w:sz w:val="32"/>
          <w:szCs w:val="40"/>
          <w:lang w:val="en-US" w:eastAsia="zh-CN"/>
          <w14:textFill>
            <w14:solidFill>
              <w14:schemeClr w14:val="tx1"/>
            </w14:solidFill>
          </w14:textFill>
        </w:rPr>
        <w:t>落实双向转诊制度。</w:t>
      </w:r>
      <w:r>
        <w:rPr>
          <w:rFonts w:hint="eastAsia" w:ascii="仿宋" w:hAnsi="仿宋" w:eastAsia="仿宋" w:cs="仿宋"/>
          <w:color w:val="000000" w:themeColor="text1"/>
          <w:sz w:val="32"/>
          <w:szCs w:val="40"/>
          <w:lang w:val="en-US" w:eastAsia="zh-CN"/>
          <w14:textFill>
            <w14:solidFill>
              <w14:schemeClr w14:val="tx1"/>
            </w14:solidFill>
          </w14:textFill>
        </w:rPr>
        <w:t>制定双向转诊技术方案，明确各级别医疗机构收治病种清单，确定常见病、危急重疾病分级诊疗及双向转诊的技术方案和路径。利用区域人口健康信息化平台优势，实现患者就诊信息的实时共享，打破基层医疗机构</w:t>
      </w:r>
      <w:r>
        <w:rPr>
          <w:rFonts w:hint="eastAsia" w:ascii="仿宋" w:hAnsi="仿宋" w:eastAsia="仿宋" w:cs="仿宋"/>
          <w:color w:val="000000" w:themeColor="text1"/>
          <w:sz w:val="32"/>
          <w:szCs w:val="40"/>
          <w14:textFill>
            <w14:solidFill>
              <w14:schemeClr w14:val="tx1"/>
            </w14:solidFill>
          </w14:textFill>
        </w:rPr>
        <w:t>设备和技术壁垒</w:t>
      </w:r>
      <w:r>
        <w:rPr>
          <w:rFonts w:hint="eastAsia" w:ascii="仿宋" w:hAnsi="仿宋" w:eastAsia="仿宋" w:cs="仿宋"/>
          <w:color w:val="000000" w:themeColor="text1"/>
          <w:sz w:val="32"/>
          <w:szCs w:val="40"/>
          <w:lang w:eastAsia="zh-CN"/>
          <w14:textFill>
            <w14:solidFill>
              <w14:schemeClr w14:val="tx1"/>
            </w14:solidFill>
          </w14:textFill>
        </w:rPr>
        <w:t>，针对基层首诊患者中</w:t>
      </w:r>
      <w:r>
        <w:rPr>
          <w:rFonts w:hint="eastAsia" w:ascii="仿宋" w:hAnsi="仿宋" w:eastAsia="仿宋" w:cs="仿宋"/>
          <w:color w:val="000000" w:themeColor="text1"/>
          <w:sz w:val="32"/>
          <w:szCs w:val="40"/>
          <w14:textFill>
            <w14:solidFill>
              <w14:schemeClr w14:val="tx1"/>
            </w14:solidFill>
          </w14:textFill>
        </w:rPr>
        <w:t>无法确诊及危重的病人</w:t>
      </w:r>
      <w:r>
        <w:rPr>
          <w:rFonts w:hint="eastAsia" w:ascii="仿宋" w:hAnsi="仿宋" w:eastAsia="仿宋" w:cs="仿宋"/>
          <w:color w:val="000000" w:themeColor="text1"/>
          <w:sz w:val="32"/>
          <w:szCs w:val="40"/>
          <w:lang w:eastAsia="zh-CN"/>
          <w14:textFill>
            <w14:solidFill>
              <w14:schemeClr w14:val="tx1"/>
            </w14:solidFill>
          </w14:textFill>
        </w:rPr>
        <w:t>，</w:t>
      </w:r>
      <w:r>
        <w:rPr>
          <w:rFonts w:hint="eastAsia" w:ascii="仿宋" w:hAnsi="仿宋" w:eastAsia="仿宋" w:cs="仿宋"/>
          <w:color w:val="000000" w:themeColor="text1"/>
          <w:sz w:val="32"/>
          <w:szCs w:val="40"/>
          <w14:textFill>
            <w14:solidFill>
              <w14:schemeClr w14:val="tx1"/>
            </w14:solidFill>
          </w14:textFill>
        </w:rPr>
        <w:t>基层首诊医生主动与上级医疗机构联系，实施转诊。上级医疗机构</w:t>
      </w:r>
      <w:r>
        <w:rPr>
          <w:rFonts w:hint="eastAsia" w:ascii="仿宋" w:hAnsi="仿宋" w:eastAsia="仿宋" w:cs="仿宋"/>
          <w:color w:val="000000" w:themeColor="text1"/>
          <w:sz w:val="32"/>
          <w:szCs w:val="40"/>
          <w:lang w:eastAsia="zh-CN"/>
          <w14:textFill>
            <w14:solidFill>
              <w14:schemeClr w14:val="tx1"/>
            </w14:solidFill>
          </w14:textFill>
        </w:rPr>
        <w:t>开辟</w:t>
      </w:r>
      <w:r>
        <w:rPr>
          <w:rFonts w:hint="eastAsia" w:ascii="仿宋" w:hAnsi="仿宋" w:eastAsia="仿宋" w:cs="仿宋"/>
          <w:color w:val="000000" w:themeColor="text1"/>
          <w:sz w:val="32"/>
          <w:szCs w:val="40"/>
          <w14:textFill>
            <w14:solidFill>
              <w14:schemeClr w14:val="tx1"/>
            </w14:solidFill>
          </w14:textFill>
        </w:rPr>
        <w:t>绿色通道，针对基层转诊和签约服务的对象，优先安排就诊、检查和住院</w:t>
      </w:r>
      <w:r>
        <w:rPr>
          <w:rFonts w:hint="eastAsia" w:ascii="仿宋" w:hAnsi="仿宋" w:eastAsia="仿宋" w:cs="仿宋"/>
          <w:color w:val="000000" w:themeColor="text1"/>
          <w:sz w:val="32"/>
          <w:szCs w:val="40"/>
          <w:lang w:eastAsia="zh-CN"/>
          <w14:textFill>
            <w14:solidFill>
              <w14:schemeClr w14:val="tx1"/>
            </w14:solidFill>
          </w14:textFill>
        </w:rPr>
        <w:t>。区级医疗机构</w:t>
      </w:r>
      <w:r>
        <w:rPr>
          <w:rFonts w:hint="eastAsia" w:ascii="仿宋" w:hAnsi="仿宋" w:eastAsia="仿宋" w:cs="仿宋"/>
          <w:color w:val="000000" w:themeColor="text1"/>
          <w:sz w:val="32"/>
          <w:szCs w:val="40"/>
          <w14:textFill>
            <w14:solidFill>
              <w14:schemeClr w14:val="tx1"/>
            </w14:solidFill>
          </w14:textFill>
        </w:rPr>
        <w:t>对诊断明确、经过治疗病情稳定转入恢复期的病人，确认适宜者，重新返回基层医疗机构进行继续治疗和康复，</w:t>
      </w:r>
      <w:r>
        <w:rPr>
          <w:rFonts w:hint="eastAsia" w:ascii="仿宋" w:hAnsi="仿宋" w:eastAsia="仿宋" w:cs="仿宋"/>
          <w:color w:val="000000" w:themeColor="text1"/>
          <w:sz w:val="32"/>
          <w:szCs w:val="40"/>
          <w:lang w:eastAsia="zh-CN"/>
          <w14:textFill>
            <w14:solidFill>
              <w14:schemeClr w14:val="tx1"/>
            </w14:solidFill>
          </w14:textFill>
        </w:rPr>
        <w:t>真正实现双向转诊制度的落地。</w:t>
      </w:r>
    </w:p>
    <w:p>
      <w:pPr>
        <w:ind w:firstLine="643" w:firstLineChars="200"/>
        <w:jc w:val="both"/>
        <w:rPr>
          <w:rFonts w:hint="default" w:ascii="仿宋" w:hAnsi="仿宋" w:eastAsia="仿宋" w:cs="仿宋"/>
          <w:color w:val="000000" w:themeColor="text1"/>
          <w:sz w:val="32"/>
          <w:szCs w:val="40"/>
          <w:lang w:val="en-US" w:eastAsia="zh-CN"/>
          <w14:textFill>
            <w14:solidFill>
              <w14:schemeClr w14:val="tx1"/>
            </w14:solidFill>
          </w14:textFill>
        </w:rPr>
      </w:pPr>
      <w:r>
        <w:rPr>
          <w:rFonts w:hint="eastAsia" w:ascii="仿宋" w:hAnsi="仿宋" w:eastAsia="仿宋" w:cs="仿宋"/>
          <w:b/>
          <w:bCs/>
          <w:color w:val="000000" w:themeColor="text1"/>
          <w:sz w:val="32"/>
          <w:szCs w:val="40"/>
          <w:lang w:val="en-US" w:eastAsia="zh-CN"/>
          <w14:textFill>
            <w14:solidFill>
              <w14:schemeClr w14:val="tx1"/>
            </w14:solidFill>
          </w14:textFill>
        </w:rPr>
        <w:t>建立人才培养机制</w:t>
      </w:r>
      <w:r>
        <w:rPr>
          <w:rFonts w:hint="eastAsia" w:ascii="仿宋" w:hAnsi="仿宋" w:eastAsia="仿宋" w:cs="仿宋"/>
          <w:b/>
          <w:bCs/>
          <w:color w:val="000000" w:themeColor="text1"/>
          <w:sz w:val="32"/>
          <w:szCs w:val="40"/>
          <w:lang w:eastAsia="zh-CN"/>
          <w14:textFill>
            <w14:solidFill>
              <w14:schemeClr w14:val="tx1"/>
            </w14:solidFill>
          </w14:textFill>
        </w:rPr>
        <w:t>。</w:t>
      </w:r>
      <w:r>
        <w:rPr>
          <w:rFonts w:hint="eastAsia" w:ascii="仿宋" w:hAnsi="仿宋" w:eastAsia="仿宋" w:cs="仿宋"/>
          <w:color w:val="000000" w:themeColor="text1"/>
          <w:sz w:val="32"/>
          <w:szCs w:val="40"/>
          <w:lang w:eastAsia="zh-CN"/>
          <w14:textFill>
            <w14:solidFill>
              <w14:schemeClr w14:val="tx1"/>
            </w14:solidFill>
          </w14:textFill>
        </w:rPr>
        <w:t>动态评定医疗人才需求，根据实际业务需要申请人才引进，</w:t>
      </w:r>
      <w:r>
        <w:rPr>
          <w:rFonts w:hint="eastAsia" w:ascii="仿宋" w:hAnsi="仿宋" w:eastAsia="仿宋" w:cs="仿宋"/>
          <w:color w:val="000000" w:themeColor="text1"/>
          <w:sz w:val="32"/>
          <w:szCs w:val="40"/>
          <w:lang w:val="en-US" w:eastAsia="zh-CN"/>
          <w14:textFill>
            <w14:solidFill>
              <w14:schemeClr w14:val="tx1"/>
            </w14:solidFill>
          </w14:textFill>
        </w:rPr>
        <w:t>逐步将优秀人才纳入编制内，编外人员根据岗位贡献和业务水平高低逐步实行同工同酬。实行人才双向培养机制，鼓励</w:t>
      </w:r>
      <w:r>
        <w:rPr>
          <w:rFonts w:hint="eastAsia" w:ascii="仿宋" w:hAnsi="仿宋" w:eastAsia="仿宋" w:cs="仿宋"/>
          <w:color w:val="000000" w:themeColor="text1"/>
          <w:sz w:val="32"/>
          <w:szCs w:val="40"/>
          <w14:textFill>
            <w14:solidFill>
              <w14:schemeClr w14:val="tx1"/>
            </w14:solidFill>
          </w14:textFill>
        </w:rPr>
        <w:t>基层医务人员定期到上级医疗机构接受轮训、专题培训和参加继续医学教育</w:t>
      </w:r>
      <w:r>
        <w:rPr>
          <w:rFonts w:hint="eastAsia" w:ascii="仿宋" w:hAnsi="仿宋" w:eastAsia="仿宋" w:cs="仿宋"/>
          <w:color w:val="000000" w:themeColor="text1"/>
          <w:sz w:val="32"/>
          <w:szCs w:val="40"/>
          <w:lang w:eastAsia="zh-CN"/>
          <w14:textFill>
            <w14:solidFill>
              <w14:schemeClr w14:val="tx1"/>
            </w14:solidFill>
          </w14:textFill>
        </w:rPr>
        <w:t>；</w:t>
      </w:r>
      <w:r>
        <w:rPr>
          <w:rFonts w:hint="eastAsia" w:ascii="仿宋" w:hAnsi="仿宋" w:eastAsia="仿宋" w:cs="仿宋"/>
          <w:color w:val="000000" w:themeColor="text1"/>
          <w:sz w:val="32"/>
          <w:szCs w:val="40"/>
          <w14:textFill>
            <w14:solidFill>
              <w14:schemeClr w14:val="tx1"/>
            </w14:solidFill>
          </w14:textFill>
        </w:rPr>
        <w:t>常年确保一定数量的高年资专科医生或专家，有序下沉到基层医疗机构坐诊，确保坐诊时间，以指导基层医疗工作；基层医疗机构为专家坐诊创造便利条件，营造便利舒适的诊疗环境、交通、辅助检查及药品供应条件</w:t>
      </w:r>
      <w:r>
        <w:rPr>
          <w:rFonts w:hint="eastAsia" w:ascii="仿宋" w:hAnsi="仿宋" w:eastAsia="仿宋" w:cs="仿宋"/>
          <w:color w:val="000000" w:themeColor="text1"/>
          <w:sz w:val="32"/>
          <w:szCs w:val="40"/>
          <w:lang w:eastAsia="zh-CN"/>
          <w14:textFill>
            <w14:solidFill>
              <w14:schemeClr w14:val="tx1"/>
            </w14:solidFill>
          </w14:textFill>
        </w:rPr>
        <w:t>。</w:t>
      </w:r>
      <w:r>
        <w:rPr>
          <w:rFonts w:hint="eastAsia" w:ascii="仿宋" w:hAnsi="仿宋" w:eastAsia="仿宋" w:cs="仿宋"/>
          <w:color w:val="000000" w:themeColor="text1"/>
          <w:sz w:val="32"/>
          <w:szCs w:val="40"/>
          <w:lang w:val="en-US" w:eastAsia="zh-CN"/>
          <w14:textFill>
            <w14:solidFill>
              <w14:schemeClr w14:val="tx1"/>
            </w14:solidFill>
          </w14:textFill>
        </w:rPr>
        <w:t>同职称或业务水平同等级医务人员实行统一管理制度，在全区组建医疗团队，实行轮岗制，通过岗位轮换，带动全区医疗机构业务水平的提升。</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default" w:ascii="仿宋" w:hAnsi="仿宋" w:eastAsia="仿宋" w:cs="仿宋"/>
          <w:color w:val="000000" w:themeColor="text1"/>
          <w:sz w:val="32"/>
          <w:szCs w:val="40"/>
          <w:lang w:val="en-US" w:eastAsia="zh-CN"/>
          <w14:textFill>
            <w14:solidFill>
              <w14:schemeClr w14:val="tx1"/>
            </w14:solidFill>
          </w14:textFill>
        </w:rPr>
      </w:pPr>
      <w:r>
        <w:rPr>
          <w:rFonts w:hint="eastAsia" w:ascii="仿宋" w:hAnsi="仿宋" w:eastAsia="仿宋" w:cs="仿宋"/>
          <w:b/>
          <w:bCs/>
          <w:color w:val="000000" w:themeColor="text1"/>
          <w:sz w:val="32"/>
          <w:szCs w:val="40"/>
          <w:lang w:val="en-US" w:eastAsia="zh-CN"/>
          <w14:textFill>
            <w14:solidFill>
              <w14:schemeClr w14:val="tx1"/>
            </w14:solidFill>
          </w14:textFill>
        </w:rPr>
        <w:t>推行薪酬制度改革。</w:t>
      </w:r>
      <w:r>
        <w:rPr>
          <w:rFonts w:hint="eastAsia" w:ascii="仿宋" w:hAnsi="仿宋" w:eastAsia="仿宋" w:cs="仿宋"/>
          <w:color w:val="000000" w:themeColor="text1"/>
          <w:sz w:val="32"/>
          <w:szCs w:val="40"/>
          <w:lang w:val="en-US" w:eastAsia="zh-CN"/>
          <w14:textFill>
            <w14:solidFill>
              <w14:schemeClr w14:val="tx1"/>
            </w14:solidFill>
          </w14:textFill>
        </w:rPr>
        <w:t>结合医疗集团成立和人才培养机制，对薪酬制度实行动态管理，按聘任岗位取酬,可高职低聘,也可低职高聘,岗变薪变,充分体现技术含量和劳动风险。薪酬待遇向优秀技术人员倾斜，确保薪酬与业绩、职称相一致，鼓励医务人员不断学习提高技能、勇于突破业务瓶颈，留住优秀人才，实现全区医疗系统的可持续发展。科学制定工资构成，全员工资由基础工资、岗位工资和绩效工资3部分构成，其中岗位工资要充分考虑不同岗位性质，设定管理、业务、工勤不同的岗位类别，每一岗位类别按照工作内容设定不同的工资系数；绩效工资严格参照制定的《沈北新区医疗集团绩效管理办法》进行发放。</w:t>
      </w:r>
    </w:p>
    <w:p>
      <w:pPr>
        <w:pStyle w:val="3"/>
        <w:keepNext w:val="0"/>
        <w:keepLines w:val="0"/>
        <w:pageBreakBefore w:val="0"/>
        <w:widowControl w:val="0"/>
        <w:numPr>
          <w:ilvl w:val="0"/>
          <w:numId w:val="0"/>
        </w:numPr>
        <w:kinsoku/>
        <w:wordWrap/>
        <w:topLinePunct w:val="0"/>
        <w:autoSpaceDE/>
        <w:autoSpaceDN/>
        <w:bidi w:val="0"/>
        <w:adjustRightInd/>
        <w:snapToGrid/>
        <w:spacing w:before="0" w:beforeAutospacing="0" w:after="0" w:afterAutospacing="0" w:line="560" w:lineRule="exact"/>
        <w:ind w:firstLine="640" w:firstLineChars="200"/>
        <w:jc w:val="both"/>
        <w:rPr>
          <w:rFonts w:hint="eastAsia" w:ascii="楷体" w:hAnsi="楷体" w:eastAsia="楷体" w:cs="楷体"/>
          <w:b w:val="0"/>
          <w:bCs w:val="0"/>
          <w:color w:val="000000" w:themeColor="text1"/>
          <w:kern w:val="2"/>
          <w:sz w:val="32"/>
          <w:szCs w:val="32"/>
          <w:highlight w:val="none"/>
          <w:lang w:val="en-US" w:eastAsia="zh-CN"/>
          <w14:textFill>
            <w14:solidFill>
              <w14:schemeClr w14:val="tx1"/>
            </w14:solidFill>
          </w14:textFill>
        </w:rPr>
      </w:pPr>
      <w:r>
        <w:rPr>
          <w:rFonts w:hint="eastAsia" w:ascii="楷体" w:hAnsi="楷体" w:eastAsia="楷体" w:cs="楷体"/>
          <w:b w:val="0"/>
          <w:bCs w:val="0"/>
          <w:color w:val="000000" w:themeColor="text1"/>
          <w:kern w:val="2"/>
          <w:sz w:val="32"/>
          <w:szCs w:val="32"/>
          <w:highlight w:val="none"/>
          <w:lang w:val="en-US" w:eastAsia="zh-CN"/>
          <w14:textFill>
            <w14:solidFill>
              <w14:schemeClr w14:val="tx1"/>
            </w14:solidFill>
          </w14:textFill>
        </w:rPr>
        <w:t>（四）以疾病防控为主线，优化公卫服务</w:t>
      </w:r>
    </w:p>
    <w:p>
      <w:pPr>
        <w:keepNext w:val="0"/>
        <w:keepLines w:val="0"/>
        <w:pageBreakBefore w:val="0"/>
        <w:kinsoku/>
        <w:wordWrap/>
        <w:topLinePunct w:val="0"/>
        <w:autoSpaceDE/>
        <w:autoSpaceDN/>
        <w:bidi w:val="0"/>
        <w:spacing w:beforeAutospacing="0" w:afterAutospacing="0" w:line="560" w:lineRule="exact"/>
        <w:ind w:firstLine="643" w:firstLineChars="200"/>
        <w:jc w:val="both"/>
        <w:rPr>
          <w:rFonts w:hint="default"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加强重大疾病预防控制。</w:t>
      </w:r>
      <w:r>
        <w:rPr>
          <w:rFonts w:hint="eastAsia" w:ascii="仿宋" w:hAnsi="仿宋" w:eastAsia="仿宋" w:cs="仿宋"/>
          <w:b w:val="0"/>
          <w:bCs w:val="0"/>
          <w:color w:val="000000" w:themeColor="text1"/>
          <w:sz w:val="32"/>
          <w:szCs w:val="32"/>
          <w:lang w:val="en-US" w:eastAsia="zh-CN"/>
          <w14:textFill>
            <w14:solidFill>
              <w14:schemeClr w14:val="tx1"/>
            </w14:solidFill>
          </w14:textFill>
        </w:rPr>
        <w:t>要加强重大疾病防治，依托区域医疗中心、专科专病防治中心，进一步明确其在急危重症救治、疑难复杂病例会诊、科研创新、技术攻关、疾病流行监测和防控策略、人才培养、质量控制、培训代教等方面责任，加强完善专科联盟，健全重大疾病防治体系。要加强重大传染病防治，加强传染病监测预警、预防控制能力建设，法定传染病报告率达到100%，及时做好疫情调查处置。加强艾滋病检测、干预和随访，最大限度主动发现感染者和病人，为所有符合条件且愿意接受治疗的感染者和病人提供抗病毒治疗，将疫情控制在低流行水平，新建艾滋病防制工作站。建立结核病精准防治体系，推行以病原学阳性为主的病人发现模式，强化耐药结核病的筛查。有效应对霍乱、流感、手足口病、麻疹、新冠肺炎等重点传染病疫情。实施以传染源控制为主的狂犬病、布病、禽流感等人畜共患病综合治理策略。要落实重点慢性病综合防控，完善“防、治、管”一体化慢性病综合防治模式。逐步优化以基层医疗机构为慢病防控据点的防控策略。建立家庭医生为主，专科医生为选择的线上慢病管理问诊团队。</w:t>
      </w:r>
    </w:p>
    <w:p>
      <w:pPr>
        <w:keepNext w:val="0"/>
        <w:keepLines w:val="0"/>
        <w:pageBreakBefore w:val="0"/>
        <w:kinsoku/>
        <w:wordWrap/>
        <w:topLinePunct w:val="0"/>
        <w:autoSpaceDE/>
        <w:autoSpaceDN/>
        <w:bidi w:val="0"/>
        <w:spacing w:beforeAutospacing="0" w:afterAutospacing="0" w:line="560" w:lineRule="exact"/>
        <w:ind w:firstLine="643" w:firstLineChars="200"/>
        <w:jc w:val="both"/>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深化家庭医生签约服务内涵。</w:t>
      </w:r>
      <w:r>
        <w:rPr>
          <w:rFonts w:hint="eastAsia" w:ascii="仿宋" w:hAnsi="仿宋" w:eastAsia="仿宋" w:cs="仿宋"/>
          <w:color w:val="000000" w:themeColor="text1"/>
          <w:sz w:val="32"/>
          <w:szCs w:val="32"/>
          <w14:textFill>
            <w14:solidFill>
              <w14:schemeClr w14:val="tx1"/>
            </w14:solidFill>
          </w14:textFill>
        </w:rPr>
        <w:t>以提升居民签约家庭医生服务内涵和获得感为核心，着重家庭医生签约服务</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内涵建设和签约后服务质量，引导居民从被动签约到主动签约转变。</w:t>
      </w:r>
      <w:r>
        <w:rPr>
          <w:rFonts w:hint="eastAsia" w:ascii="仿宋" w:hAnsi="仿宋" w:eastAsia="仿宋" w:cs="仿宋"/>
          <w:color w:val="000000" w:themeColor="text1"/>
          <w:sz w:val="32"/>
          <w:szCs w:val="32"/>
          <w:lang w:val="en-US" w:eastAsia="zh-CN"/>
          <w14:textFill>
            <w14:solidFill>
              <w14:schemeClr w14:val="tx1"/>
            </w14:solidFill>
          </w14:textFill>
        </w:rPr>
        <w:t>重点</w:t>
      </w:r>
      <w:r>
        <w:rPr>
          <w:rFonts w:hint="eastAsia" w:ascii="仿宋" w:hAnsi="仿宋" w:eastAsia="仿宋" w:cs="仿宋"/>
          <w:b w:val="0"/>
          <w:bCs w:val="0"/>
          <w:color w:val="000000" w:themeColor="text1"/>
          <w:sz w:val="32"/>
          <w:szCs w:val="32"/>
          <w14:textFill>
            <w14:solidFill>
              <w14:schemeClr w14:val="tx1"/>
            </w14:solidFill>
          </w14:textFill>
        </w:rPr>
        <w:t>为</w:t>
      </w:r>
      <w:r>
        <w:rPr>
          <w:rFonts w:hint="eastAsia" w:ascii="仿宋" w:hAnsi="仿宋" w:eastAsia="仿宋" w:cs="仿宋"/>
          <w:b w:val="0"/>
          <w:bCs w:val="0"/>
          <w:color w:val="000000" w:themeColor="text1"/>
          <w:sz w:val="32"/>
          <w:szCs w:val="32"/>
          <w:lang w:val="en-US" w:eastAsia="zh-CN"/>
          <w14:textFill>
            <w14:solidFill>
              <w14:schemeClr w14:val="tx1"/>
            </w14:solidFill>
          </w14:textFill>
        </w:rPr>
        <w:t>65岁以上</w:t>
      </w:r>
      <w:r>
        <w:rPr>
          <w:rFonts w:hint="eastAsia" w:ascii="仿宋" w:hAnsi="仿宋" w:eastAsia="仿宋" w:cs="仿宋"/>
          <w:b w:val="0"/>
          <w:bCs w:val="0"/>
          <w:color w:val="000000" w:themeColor="text1"/>
          <w:kern w:val="0"/>
          <w:sz w:val="32"/>
          <w:szCs w:val="32"/>
          <w14:textFill>
            <w14:solidFill>
              <w14:schemeClr w14:val="tx1"/>
            </w14:solidFill>
          </w14:textFill>
        </w:rPr>
        <w:t>老年人、孕产妇、儿童、残疾人、贫困人口、计划生育特殊家庭成员以及高血压、糖尿病、结核病和严重精神障碍患者等</w:t>
      </w:r>
      <w:r>
        <w:rPr>
          <w:rFonts w:hint="eastAsia" w:ascii="仿宋" w:hAnsi="仿宋" w:eastAsia="仿宋" w:cs="仿宋"/>
          <w:b w:val="0"/>
          <w:bCs w:val="0"/>
          <w:color w:val="000000" w:themeColor="text1"/>
          <w:sz w:val="32"/>
          <w:szCs w:val="32"/>
          <w14:textFill>
            <w14:solidFill>
              <w14:schemeClr w14:val="tx1"/>
            </w14:solidFill>
          </w14:textFill>
        </w:rPr>
        <w:t>及其他有签约服务需求的居民</w:t>
      </w:r>
      <w:r>
        <w:rPr>
          <w:rFonts w:hint="eastAsia" w:ascii="仿宋" w:hAnsi="仿宋" w:eastAsia="仿宋" w:cs="仿宋"/>
          <w:b w:val="0"/>
          <w:bCs w:val="0"/>
          <w:color w:val="000000" w:themeColor="text1"/>
          <w:sz w:val="32"/>
          <w:szCs w:val="32"/>
          <w:lang w:val="en-US" w:eastAsia="zh-CN"/>
          <w14:textFill>
            <w14:solidFill>
              <w14:schemeClr w14:val="tx1"/>
            </w14:solidFill>
          </w14:textFill>
        </w:rPr>
        <w:t>提供</w:t>
      </w:r>
      <w:r>
        <w:rPr>
          <w:rFonts w:hint="eastAsia" w:ascii="仿宋" w:hAnsi="仿宋" w:eastAsia="仿宋" w:cs="仿宋"/>
          <w:b w:val="0"/>
          <w:bCs w:val="0"/>
          <w:color w:val="000000" w:themeColor="text1"/>
          <w:kern w:val="0"/>
          <w:sz w:val="32"/>
          <w:szCs w:val="32"/>
          <w14:textFill>
            <w14:solidFill>
              <w14:schemeClr w14:val="tx1"/>
            </w14:solidFill>
          </w14:textFill>
        </w:rPr>
        <w:t>基本医疗服务</w:t>
      </w:r>
      <w:r>
        <w:rPr>
          <w:rFonts w:hint="eastAsia" w:ascii="仿宋" w:hAnsi="仿宋" w:eastAsia="仿宋" w:cs="仿宋"/>
          <w:b w:val="0"/>
          <w:bCs w:val="0"/>
          <w:color w:val="000000" w:themeColor="text1"/>
          <w:kern w:val="0"/>
          <w:sz w:val="32"/>
          <w:szCs w:val="32"/>
          <w:lang w:eastAsia="zh-CN"/>
          <w14:textFill>
            <w14:solidFill>
              <w14:schemeClr w14:val="tx1"/>
            </w14:solidFill>
          </w14:textFill>
        </w:rPr>
        <w:t>、</w:t>
      </w:r>
      <w:r>
        <w:rPr>
          <w:rFonts w:hint="eastAsia" w:ascii="仿宋" w:hAnsi="仿宋" w:eastAsia="仿宋" w:cs="仿宋"/>
          <w:b w:val="0"/>
          <w:bCs w:val="0"/>
          <w:color w:val="000000" w:themeColor="text1"/>
          <w:kern w:val="0"/>
          <w:sz w:val="32"/>
          <w:szCs w:val="32"/>
          <w14:textFill>
            <w14:solidFill>
              <w14:schemeClr w14:val="tx1"/>
            </w14:solidFill>
          </w14:textFill>
        </w:rPr>
        <w:t>基本公共卫生服务</w:t>
      </w:r>
      <w:r>
        <w:rPr>
          <w:rFonts w:hint="eastAsia" w:ascii="仿宋" w:hAnsi="仿宋" w:eastAsia="仿宋" w:cs="仿宋"/>
          <w:b w:val="0"/>
          <w:bCs w:val="0"/>
          <w:color w:val="000000" w:themeColor="text1"/>
          <w:kern w:val="0"/>
          <w:sz w:val="32"/>
          <w:szCs w:val="32"/>
          <w:lang w:eastAsia="zh-CN"/>
          <w14:textFill>
            <w14:solidFill>
              <w14:schemeClr w14:val="tx1"/>
            </w14:solidFill>
          </w14:textFill>
        </w:rPr>
        <w:t>、</w:t>
      </w:r>
      <w:r>
        <w:rPr>
          <w:rFonts w:hint="eastAsia" w:ascii="仿宋" w:hAnsi="仿宋" w:eastAsia="仿宋" w:cs="仿宋"/>
          <w:b w:val="0"/>
          <w:bCs w:val="0"/>
          <w:color w:val="000000" w:themeColor="text1"/>
          <w:kern w:val="0"/>
          <w:sz w:val="32"/>
          <w:szCs w:val="32"/>
          <w14:textFill>
            <w14:solidFill>
              <w14:schemeClr w14:val="tx1"/>
            </w14:solidFill>
          </w14:textFill>
        </w:rPr>
        <w:t>健康管理服务</w:t>
      </w:r>
      <w:r>
        <w:rPr>
          <w:rFonts w:hint="eastAsia" w:ascii="仿宋" w:hAnsi="仿宋" w:eastAsia="仿宋" w:cs="仿宋"/>
          <w:b w:val="0"/>
          <w:bCs w:val="0"/>
          <w:color w:val="000000" w:themeColor="text1"/>
          <w:kern w:val="0"/>
          <w:sz w:val="32"/>
          <w:szCs w:val="32"/>
          <w:lang w:eastAsia="zh-CN"/>
          <w14:textFill>
            <w14:solidFill>
              <w14:schemeClr w14:val="tx1"/>
            </w14:solidFill>
          </w14:textFill>
        </w:rPr>
        <w:t>、</w:t>
      </w:r>
      <w:r>
        <w:rPr>
          <w:rFonts w:hint="eastAsia" w:ascii="仿宋" w:hAnsi="仿宋" w:eastAsia="仿宋" w:cs="仿宋"/>
          <w:b w:val="0"/>
          <w:bCs w:val="0"/>
          <w:color w:val="000000" w:themeColor="text1"/>
          <w:kern w:val="0"/>
          <w:sz w:val="32"/>
          <w:szCs w:val="32"/>
          <w14:textFill>
            <w14:solidFill>
              <w14:schemeClr w14:val="tx1"/>
            </w14:solidFill>
          </w14:textFill>
        </w:rPr>
        <w:t>健康教育与咨询服务</w:t>
      </w:r>
      <w:r>
        <w:rPr>
          <w:rFonts w:hint="eastAsia" w:ascii="仿宋" w:hAnsi="仿宋" w:eastAsia="仿宋" w:cs="仿宋"/>
          <w:b w:val="0"/>
          <w:bCs w:val="0"/>
          <w:color w:val="000000" w:themeColor="text1"/>
          <w:kern w:val="0"/>
          <w:sz w:val="32"/>
          <w:szCs w:val="32"/>
          <w:lang w:eastAsia="zh-CN"/>
          <w14:textFill>
            <w14:solidFill>
              <w14:schemeClr w14:val="tx1"/>
            </w14:solidFill>
          </w14:textFill>
        </w:rPr>
        <w:t>、</w:t>
      </w:r>
      <w:r>
        <w:rPr>
          <w:rFonts w:hint="eastAsia" w:ascii="仿宋" w:hAnsi="仿宋" w:eastAsia="仿宋" w:cs="仿宋"/>
          <w:b w:val="0"/>
          <w:bCs w:val="0"/>
          <w:color w:val="000000" w:themeColor="text1"/>
          <w:kern w:val="0"/>
          <w:sz w:val="32"/>
          <w:szCs w:val="32"/>
          <w14:textFill>
            <w14:solidFill>
              <w14:schemeClr w14:val="tx1"/>
            </w14:solidFill>
          </w14:textFill>
        </w:rPr>
        <w:t>优先预约服务</w:t>
      </w:r>
      <w:r>
        <w:rPr>
          <w:rFonts w:hint="eastAsia" w:ascii="仿宋" w:hAnsi="仿宋" w:eastAsia="仿宋" w:cs="仿宋"/>
          <w:b w:val="0"/>
          <w:bCs w:val="0"/>
          <w:color w:val="000000" w:themeColor="text1"/>
          <w:kern w:val="0"/>
          <w:sz w:val="32"/>
          <w:szCs w:val="32"/>
          <w:lang w:eastAsia="zh-CN"/>
          <w14:textFill>
            <w14:solidFill>
              <w14:schemeClr w14:val="tx1"/>
            </w14:solidFill>
          </w14:textFill>
        </w:rPr>
        <w:t>、</w:t>
      </w:r>
      <w:r>
        <w:rPr>
          <w:rFonts w:hint="eastAsia" w:ascii="仿宋" w:hAnsi="仿宋" w:eastAsia="仿宋" w:cs="仿宋"/>
          <w:b w:val="0"/>
          <w:bCs w:val="0"/>
          <w:color w:val="000000" w:themeColor="text1"/>
          <w:kern w:val="0"/>
          <w:sz w:val="32"/>
          <w:szCs w:val="32"/>
          <w14:textFill>
            <w14:solidFill>
              <w14:schemeClr w14:val="tx1"/>
            </w14:solidFill>
          </w14:textFill>
        </w:rPr>
        <w:t>优先转诊服务</w:t>
      </w:r>
      <w:r>
        <w:rPr>
          <w:rFonts w:hint="eastAsia" w:ascii="仿宋" w:hAnsi="仿宋" w:eastAsia="仿宋" w:cs="仿宋"/>
          <w:b w:val="0"/>
          <w:bCs w:val="0"/>
          <w:color w:val="000000" w:themeColor="text1"/>
          <w:kern w:val="0"/>
          <w:sz w:val="32"/>
          <w:szCs w:val="32"/>
          <w:lang w:eastAsia="zh-CN"/>
          <w14:textFill>
            <w14:solidFill>
              <w14:schemeClr w14:val="tx1"/>
            </w14:solidFill>
          </w14:textFill>
        </w:rPr>
        <w:t>、</w:t>
      </w:r>
      <w:r>
        <w:rPr>
          <w:rFonts w:hint="eastAsia" w:ascii="仿宋" w:hAnsi="仿宋" w:eastAsia="仿宋" w:cs="仿宋"/>
          <w:b w:val="0"/>
          <w:bCs w:val="0"/>
          <w:color w:val="000000" w:themeColor="text1"/>
          <w:kern w:val="0"/>
          <w:sz w:val="32"/>
          <w:szCs w:val="32"/>
          <w14:textFill>
            <w14:solidFill>
              <w14:schemeClr w14:val="tx1"/>
            </w14:solidFill>
          </w14:textFill>
        </w:rPr>
        <w:t>出诊服务</w:t>
      </w:r>
      <w:r>
        <w:rPr>
          <w:rFonts w:hint="eastAsia" w:ascii="仿宋" w:hAnsi="仿宋" w:eastAsia="仿宋" w:cs="仿宋"/>
          <w:b w:val="0"/>
          <w:bCs w:val="0"/>
          <w:color w:val="000000" w:themeColor="text1"/>
          <w:kern w:val="0"/>
          <w:sz w:val="32"/>
          <w:szCs w:val="32"/>
          <w:lang w:eastAsia="zh-CN"/>
          <w14:textFill>
            <w14:solidFill>
              <w14:schemeClr w14:val="tx1"/>
            </w14:solidFill>
          </w14:textFill>
        </w:rPr>
        <w:t>、</w:t>
      </w:r>
      <w:r>
        <w:rPr>
          <w:rFonts w:hint="eastAsia" w:ascii="仿宋" w:hAnsi="仿宋" w:eastAsia="仿宋" w:cs="仿宋"/>
          <w:b w:val="0"/>
          <w:bCs w:val="0"/>
          <w:color w:val="000000" w:themeColor="text1"/>
          <w:kern w:val="0"/>
          <w:sz w:val="32"/>
          <w:szCs w:val="32"/>
          <w14:textFill>
            <w14:solidFill>
              <w14:schemeClr w14:val="tx1"/>
            </w14:solidFill>
          </w14:textFill>
        </w:rPr>
        <w:t>药品配送与用药指导服务</w:t>
      </w:r>
      <w:r>
        <w:rPr>
          <w:rFonts w:hint="eastAsia" w:ascii="仿宋" w:hAnsi="仿宋" w:eastAsia="仿宋" w:cs="仿宋"/>
          <w:b w:val="0"/>
          <w:bCs w:val="0"/>
          <w:color w:val="000000" w:themeColor="text1"/>
          <w:kern w:val="0"/>
          <w:sz w:val="32"/>
          <w:szCs w:val="32"/>
          <w:lang w:eastAsia="zh-CN"/>
          <w14:textFill>
            <w14:solidFill>
              <w14:schemeClr w14:val="tx1"/>
            </w14:solidFill>
          </w14:textFill>
        </w:rPr>
        <w:t>、</w:t>
      </w:r>
      <w:r>
        <w:rPr>
          <w:rFonts w:hint="eastAsia" w:ascii="仿宋" w:hAnsi="仿宋" w:eastAsia="仿宋" w:cs="仿宋"/>
          <w:b w:val="0"/>
          <w:bCs w:val="0"/>
          <w:color w:val="000000" w:themeColor="text1"/>
          <w:kern w:val="0"/>
          <w:sz w:val="32"/>
          <w:szCs w:val="32"/>
          <w14:textFill>
            <w14:solidFill>
              <w14:schemeClr w14:val="tx1"/>
            </w14:solidFill>
          </w14:textFill>
        </w:rPr>
        <w:t>长期处方服务</w:t>
      </w:r>
      <w:r>
        <w:rPr>
          <w:rFonts w:hint="eastAsia" w:ascii="仿宋" w:hAnsi="仿宋" w:eastAsia="仿宋" w:cs="仿宋"/>
          <w:b w:val="0"/>
          <w:bCs w:val="0"/>
          <w:color w:val="000000" w:themeColor="text1"/>
          <w:kern w:val="0"/>
          <w:sz w:val="32"/>
          <w:szCs w:val="32"/>
          <w:lang w:eastAsia="zh-CN"/>
          <w14:textFill>
            <w14:solidFill>
              <w14:schemeClr w14:val="tx1"/>
            </w14:solidFill>
          </w14:textFill>
        </w:rPr>
        <w:t>、</w:t>
      </w:r>
      <w:r>
        <w:rPr>
          <w:rFonts w:hint="eastAsia" w:ascii="仿宋" w:hAnsi="仿宋" w:eastAsia="仿宋" w:cs="仿宋"/>
          <w:b w:val="0"/>
          <w:bCs w:val="0"/>
          <w:color w:val="000000" w:themeColor="text1"/>
          <w:kern w:val="0"/>
          <w:sz w:val="32"/>
          <w:szCs w:val="32"/>
          <w14:textFill>
            <w14:solidFill>
              <w14:schemeClr w14:val="tx1"/>
            </w14:solidFill>
          </w14:textFill>
        </w:rPr>
        <w:t>中医药“治未病”服务</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等</w:t>
      </w:r>
      <w:r>
        <w:rPr>
          <w:rFonts w:hint="eastAsia" w:ascii="仿宋" w:hAnsi="仿宋" w:eastAsia="仿宋" w:cs="仿宋"/>
          <w:b w:val="0"/>
          <w:bCs w:val="0"/>
          <w:color w:val="000000" w:themeColor="text1"/>
          <w:kern w:val="0"/>
          <w:sz w:val="32"/>
          <w:szCs w:val="32"/>
          <w14:textFill>
            <w14:solidFill>
              <w14:schemeClr w14:val="tx1"/>
            </w14:solidFill>
          </w14:textFill>
        </w:rPr>
        <w:t>服务</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项目。</w:t>
      </w:r>
      <w:r>
        <w:rPr>
          <w:rFonts w:hint="eastAsia" w:ascii="仿宋" w:hAnsi="仿宋" w:eastAsia="仿宋" w:cs="仿宋"/>
          <w:b w:val="0"/>
          <w:bCs w:val="0"/>
          <w:color w:val="000000" w:themeColor="text1"/>
          <w:sz w:val="32"/>
          <w:szCs w:val="32"/>
          <w:lang w:val="en-US" w:eastAsia="zh-CN"/>
          <w14:textFill>
            <w14:solidFill>
              <w14:schemeClr w14:val="tx1"/>
            </w14:solidFill>
          </w14:textFill>
        </w:rPr>
        <w:t>常住</w:t>
      </w:r>
      <w:r>
        <w:rPr>
          <w:rFonts w:hint="eastAsia" w:ascii="仿宋" w:hAnsi="仿宋" w:eastAsia="仿宋" w:cs="仿宋"/>
          <w:b w:val="0"/>
          <w:bCs w:val="0"/>
          <w:color w:val="000000" w:themeColor="text1"/>
          <w:sz w:val="32"/>
          <w:szCs w:val="32"/>
          <w14:textFill>
            <w14:solidFill>
              <w14:schemeClr w14:val="tx1"/>
            </w14:solidFill>
          </w14:textFill>
        </w:rPr>
        <w:t>人口家庭医生签约服务</w:t>
      </w:r>
      <w:r>
        <w:rPr>
          <w:rFonts w:hint="eastAsia" w:ascii="仿宋" w:hAnsi="仿宋" w:eastAsia="仿宋" w:cs="仿宋"/>
          <w:b w:val="0"/>
          <w:bCs w:val="0"/>
          <w:color w:val="000000" w:themeColor="text1"/>
          <w:sz w:val="32"/>
          <w:szCs w:val="32"/>
          <w:lang w:eastAsia="zh-CN"/>
          <w14:textFill>
            <w14:solidFill>
              <w14:schemeClr w14:val="tx1"/>
            </w14:solidFill>
          </w14:textFill>
        </w:rPr>
        <w:t>质量</w:t>
      </w:r>
      <w:r>
        <w:rPr>
          <w:rFonts w:hint="eastAsia" w:ascii="仿宋" w:hAnsi="仿宋" w:eastAsia="仿宋" w:cs="仿宋"/>
          <w:b w:val="0"/>
          <w:bCs w:val="0"/>
          <w:color w:val="000000" w:themeColor="text1"/>
          <w:sz w:val="32"/>
          <w:szCs w:val="32"/>
          <w:lang w:val="en-US" w:eastAsia="zh-CN"/>
          <w14:textFill>
            <w14:solidFill>
              <w14:schemeClr w14:val="tx1"/>
            </w14:solidFill>
          </w14:textFill>
        </w:rPr>
        <w:t>得到</w:t>
      </w:r>
      <w:r>
        <w:rPr>
          <w:rFonts w:hint="eastAsia" w:ascii="仿宋" w:hAnsi="仿宋" w:eastAsia="仿宋" w:cs="仿宋"/>
          <w:b w:val="0"/>
          <w:bCs w:val="0"/>
          <w:color w:val="000000" w:themeColor="text1"/>
          <w:sz w:val="32"/>
          <w:szCs w:val="32"/>
          <w:lang w:eastAsia="zh-CN"/>
          <w14:textFill>
            <w14:solidFill>
              <w14:schemeClr w14:val="tx1"/>
            </w14:solidFill>
          </w14:textFill>
        </w:rPr>
        <w:t>普遍提高</w:t>
      </w:r>
      <w:r>
        <w:rPr>
          <w:rFonts w:hint="eastAsia" w:ascii="仿宋" w:hAnsi="仿宋" w:eastAsia="仿宋" w:cs="仿宋"/>
          <w:b w:val="0"/>
          <w:bCs w:val="0"/>
          <w:color w:val="000000" w:themeColor="text1"/>
          <w:sz w:val="32"/>
          <w:szCs w:val="32"/>
          <w14:textFill>
            <w14:solidFill>
              <w14:schemeClr w14:val="tx1"/>
            </w14:solidFill>
          </w14:textFill>
        </w:rPr>
        <w:t>，重点人群签约服务覆盖率达到70%以上，其中残疾人、计划生育特殊困难家庭签约服务率达到</w:t>
      </w:r>
      <w:r>
        <w:rPr>
          <w:rFonts w:hint="eastAsia" w:ascii="仿宋" w:hAnsi="仿宋" w:eastAsia="仿宋" w:cs="仿宋"/>
          <w:b w:val="0"/>
          <w:bCs w:val="0"/>
          <w:color w:val="000000" w:themeColor="text1"/>
          <w:sz w:val="32"/>
          <w:szCs w:val="32"/>
          <w:lang w:val="en-US" w:eastAsia="zh-CN"/>
          <w14:textFill>
            <w14:solidFill>
              <w14:schemeClr w14:val="tx1"/>
            </w14:solidFill>
          </w14:textFill>
        </w:rPr>
        <w:t>100%</w:t>
      </w:r>
      <w:r>
        <w:rPr>
          <w:rFonts w:hint="eastAsia" w:ascii="仿宋" w:hAnsi="仿宋" w:eastAsia="仿宋" w:cs="仿宋"/>
          <w:b w:val="0"/>
          <w:bCs w:val="0"/>
          <w:color w:val="000000" w:themeColor="text1"/>
          <w:sz w:val="32"/>
          <w:szCs w:val="32"/>
          <w14:textFill>
            <w14:solidFill>
              <w14:schemeClr w14:val="tx1"/>
            </w14:solidFill>
          </w14:textFill>
        </w:rPr>
        <w:t>。力争签约服务实行全民覆盖</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形成长期稳定的契约服务关系，基本</w:t>
      </w:r>
      <w:r>
        <w:rPr>
          <w:rFonts w:hint="eastAsia" w:ascii="仿宋" w:hAnsi="仿宋" w:eastAsia="仿宋" w:cs="仿宋"/>
          <w:b w:val="0"/>
          <w:bCs w:val="0"/>
          <w:color w:val="000000" w:themeColor="text1"/>
          <w:sz w:val="32"/>
          <w:szCs w:val="32"/>
          <w:lang w:val="en-US" w:eastAsia="zh-CN"/>
          <w14:textFill>
            <w14:solidFill>
              <w14:schemeClr w14:val="tx1"/>
            </w14:solidFill>
          </w14:textFill>
        </w:rPr>
        <w:t>达到</w:t>
      </w:r>
      <w:r>
        <w:rPr>
          <w:rFonts w:hint="eastAsia" w:ascii="仿宋" w:hAnsi="仿宋" w:eastAsia="仿宋" w:cs="仿宋"/>
          <w:b w:val="0"/>
          <w:bCs w:val="0"/>
          <w:color w:val="000000" w:themeColor="text1"/>
          <w:sz w:val="32"/>
          <w:szCs w:val="32"/>
          <w14:textFill>
            <w14:solidFill>
              <w14:schemeClr w14:val="tx1"/>
            </w14:solidFill>
          </w14:textFill>
        </w:rPr>
        <w:t>家庭医生签约服务制度的全覆盖</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实现“小病在基层，大病到医院，康复回基层”的就医秩序</w:t>
      </w:r>
      <w:r>
        <w:rPr>
          <w:rFonts w:hint="eastAsia" w:ascii="仿宋" w:hAnsi="仿宋" w:eastAsia="仿宋" w:cs="仿宋"/>
          <w:b w:val="0"/>
          <w:bCs w:val="0"/>
          <w:color w:val="000000" w:themeColor="text1"/>
          <w:sz w:val="32"/>
          <w:szCs w:val="32"/>
          <w:lang w:eastAsia="zh-CN"/>
          <w14:textFill>
            <w14:solidFill>
              <w14:schemeClr w14:val="tx1"/>
            </w14:solidFill>
          </w14:textFill>
        </w:rPr>
        <w:t>。</w:t>
      </w:r>
    </w:p>
    <w:p>
      <w:pPr>
        <w:ind w:firstLine="660"/>
        <w:jc w:val="both"/>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 w:hAnsi="仿宋" w:eastAsia="仿宋" w:cs="仿宋_GB2312"/>
          <w:b/>
          <w:bCs/>
          <w:color w:val="000000" w:themeColor="text1"/>
          <w:sz w:val="32"/>
          <w:szCs w:val="32"/>
          <w:lang w:val="en-US" w:eastAsia="zh-CN"/>
          <w14:textFill>
            <w14:solidFill>
              <w14:schemeClr w14:val="tx1"/>
            </w14:solidFill>
          </w14:textFill>
        </w:rPr>
        <w:t>提升基本公共卫生服务能力。</w:t>
      </w:r>
      <w:r>
        <w:rPr>
          <w:rFonts w:hint="eastAsia" w:ascii="仿宋" w:hAnsi="仿宋" w:eastAsia="仿宋" w:cs="仿宋_GB2312"/>
          <w:color w:val="000000" w:themeColor="text1"/>
          <w:sz w:val="32"/>
          <w:szCs w:val="32"/>
          <w14:textFill>
            <w14:solidFill>
              <w14:schemeClr w14:val="tx1"/>
            </w14:solidFill>
          </w14:textFill>
        </w:rPr>
        <w:t>进一步完善基本公共卫生管理体制，</w:t>
      </w:r>
      <w:r>
        <w:rPr>
          <w:rFonts w:hint="eastAsia" w:ascii="仿宋_GB2312" w:hAnsi="仿宋_GB2312" w:eastAsia="仿宋_GB2312" w:cs="仿宋_GB2312"/>
          <w:color w:val="000000" w:themeColor="text1"/>
          <w:sz w:val="32"/>
          <w:szCs w:val="32"/>
          <w:lang w:val="en-US"/>
          <w14:textFill>
            <w14:solidFill>
              <w14:schemeClr w14:val="tx1"/>
            </w14:solidFill>
          </w14:textFill>
        </w:rPr>
        <w:t>切实落实好公共卫生服务项目</w:t>
      </w:r>
      <w:r>
        <w:rPr>
          <w:rFonts w:hint="eastAsia" w:ascii="仿宋" w:hAnsi="仿宋" w:eastAsia="仿宋" w:cs="仿宋_GB2312"/>
          <w:color w:val="000000" w:themeColor="text1"/>
          <w:sz w:val="32"/>
          <w:szCs w:val="32"/>
          <w14:textFill>
            <w14:solidFill>
              <w14:schemeClr w14:val="tx1"/>
            </w14:solidFill>
          </w14:textFill>
        </w:rPr>
        <w:t>。积极组织居民的健康体检工作，重点做好60岁以上老人、7岁以下儿童、育</w:t>
      </w:r>
      <w:bookmarkStart w:id="39" w:name="_GoBack"/>
      <w:bookmarkEnd w:id="39"/>
      <w:r>
        <w:rPr>
          <w:rFonts w:hint="eastAsia" w:ascii="仿宋" w:hAnsi="仿宋" w:eastAsia="仿宋" w:cs="仿宋_GB2312"/>
          <w:color w:val="000000" w:themeColor="text1"/>
          <w:sz w:val="32"/>
          <w:szCs w:val="32"/>
          <w14:textFill>
            <w14:solidFill>
              <w14:schemeClr w14:val="tx1"/>
            </w14:solidFill>
          </w14:textFill>
        </w:rPr>
        <w:t>龄妇女等重点人群以及心脑血管疾病、糖尿病、恶性肿瘤和精神疾病等重点对象的健康档案建档和后续管理工作，并实施规范动态管理。</w:t>
      </w:r>
      <w:r>
        <w:rPr>
          <w:rFonts w:hint="eastAsia" w:ascii="仿宋_GB2312" w:hAnsi="仿宋_GB2312" w:eastAsia="仿宋_GB2312" w:cs="仿宋_GB2312"/>
          <w:b w:val="0"/>
          <w:bCs w:val="0"/>
          <w:color w:val="000000" w:themeColor="text1"/>
          <w:sz w:val="32"/>
          <w:szCs w:val="32"/>
          <w14:textFill>
            <w14:solidFill>
              <w14:schemeClr w14:val="tx1"/>
            </w14:solidFill>
          </w14:textFill>
        </w:rPr>
        <w:t>创新公共卫生绩效管理机制</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建立公共卫生服务提供信息与质量信息整合智能平台，基于基本公共卫生服务供给的服务质量、人群健康结果、满意度和管理规范的以服务结果为导向的公共卫生绩效管理体系。建立以年度考核结果为导向医疗卫生机构承担公共卫生任务的补偿政策。</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优化</w:t>
      </w:r>
      <w:r>
        <w:rPr>
          <w:rFonts w:hint="eastAsia" w:ascii="仿宋" w:hAnsi="仿宋" w:eastAsia="仿宋" w:cs="仿宋"/>
          <w:b/>
          <w:bCs/>
          <w:color w:val="000000" w:themeColor="text1"/>
          <w:sz w:val="32"/>
          <w:szCs w:val="32"/>
          <w:shd w:val="clear" w:color="auto" w:fill="FFFFFF"/>
          <w14:textFill>
            <w14:solidFill>
              <w14:schemeClr w14:val="tx1"/>
            </w14:solidFill>
          </w14:textFill>
        </w:rPr>
        <w:t>传染病和突发公共卫生事件</w:t>
      </w:r>
      <w:r>
        <w:rPr>
          <w:rFonts w:hint="eastAsia" w:ascii="仿宋" w:hAnsi="仿宋" w:eastAsia="仿宋" w:cs="仿宋"/>
          <w:b/>
          <w:bCs/>
          <w:color w:val="000000" w:themeColor="text1"/>
          <w:sz w:val="32"/>
          <w:szCs w:val="32"/>
          <w14:textFill>
            <w14:solidFill>
              <w14:schemeClr w14:val="tx1"/>
            </w14:solidFill>
          </w14:textFill>
        </w:rPr>
        <w:t>应急</w:t>
      </w:r>
      <w:r>
        <w:rPr>
          <w:rFonts w:hint="eastAsia" w:ascii="仿宋" w:hAnsi="仿宋" w:eastAsia="仿宋" w:cs="仿宋"/>
          <w:b/>
          <w:bCs/>
          <w:color w:val="000000" w:themeColor="text1"/>
          <w:sz w:val="32"/>
          <w:szCs w:val="32"/>
          <w:lang w:val="en-US" w:eastAsia="zh-CN"/>
          <w14:textFill>
            <w14:solidFill>
              <w14:schemeClr w14:val="tx1"/>
            </w14:solidFill>
          </w14:textFill>
        </w:rPr>
        <w:t>管理</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val="0"/>
          <w:bCs/>
          <w:color w:val="000000" w:themeColor="text1"/>
          <w:sz w:val="32"/>
          <w:szCs w:val="32"/>
          <w:lang w:val="en-US"/>
          <w14:textFill>
            <w14:solidFill>
              <w14:schemeClr w14:val="tx1"/>
            </w14:solidFill>
          </w14:textFill>
        </w:rPr>
        <w:t>加强区疾控中心标准化建设，</w:t>
      </w:r>
      <w:r>
        <w:rPr>
          <w:rFonts w:hint="eastAsia" w:ascii="仿宋" w:hAnsi="仿宋" w:eastAsia="仿宋" w:cs="仿宋"/>
          <w:b w:val="0"/>
          <w:bCs/>
          <w:color w:val="000000" w:themeColor="text1"/>
          <w:sz w:val="32"/>
          <w:szCs w:val="32"/>
          <w14:textFill>
            <w14:solidFill>
              <w14:schemeClr w14:val="tx1"/>
            </w14:solidFill>
          </w14:textFill>
        </w:rPr>
        <w:t>提升传染病实验室调查技术和暴发溯源技术水平，加强综合风险评估技术，建立全区公共卫生信息收集和传染病疫情预警系统，及时评估重大公共卫生风险并预警。</w:t>
      </w:r>
      <w:r>
        <w:rPr>
          <w:rFonts w:hint="eastAsia" w:ascii="仿宋_GB2312" w:hAnsi="仿宋_GB2312" w:eastAsia="仿宋_GB2312" w:cs="仿宋_GB2312"/>
          <w:b w:val="0"/>
          <w:bCs/>
          <w:color w:val="000000" w:themeColor="text1"/>
          <w:sz w:val="32"/>
          <w:szCs w:val="32"/>
          <w:lang w:val="en-US"/>
          <w14:textFill>
            <w14:solidFill>
              <w14:schemeClr w14:val="tx1"/>
            </w14:solidFill>
          </w14:textFill>
        </w:rPr>
        <w:t>进一步加大对人感染高致病性禽流感、霍乱、艾滋病、结核病等重大传染病、</w:t>
      </w:r>
      <w:r>
        <w:rPr>
          <w:rFonts w:hint="eastAsia" w:ascii="仿宋" w:hAnsi="仿宋" w:eastAsia="仿宋" w:cs="仿宋"/>
          <w:b w:val="0"/>
          <w:bCs/>
          <w:color w:val="000000" w:themeColor="text1"/>
          <w:sz w:val="32"/>
          <w:szCs w:val="32"/>
          <w:lang w:val="en-US"/>
          <w14:textFill>
            <w14:solidFill>
              <w14:schemeClr w14:val="tx1"/>
            </w14:solidFill>
          </w14:textFill>
        </w:rPr>
        <w:t>地方病的防控力度</w:t>
      </w:r>
      <w:r>
        <w:rPr>
          <w:rFonts w:hint="eastAsia" w:ascii="仿宋" w:hAnsi="仿宋" w:eastAsia="仿宋" w:cs="仿宋"/>
          <w:b w:val="0"/>
          <w:bCs/>
          <w:color w:val="000000" w:themeColor="text1"/>
          <w:sz w:val="32"/>
          <w:szCs w:val="32"/>
          <w:lang w:val="en-US" w:eastAsia="zh-CN"/>
          <w14:textFill>
            <w14:solidFill>
              <w14:schemeClr w14:val="tx1"/>
            </w14:solidFill>
          </w14:textFill>
        </w:rPr>
        <w:t>和建立</w:t>
      </w:r>
      <w:r>
        <w:rPr>
          <w:rFonts w:hint="eastAsia" w:ascii="仿宋" w:hAnsi="仿宋" w:eastAsia="仿宋" w:cs="仿宋"/>
          <w:b w:val="0"/>
          <w:bCs/>
          <w:color w:val="000000" w:themeColor="text1"/>
          <w:sz w:val="32"/>
          <w:szCs w:val="32"/>
          <w:lang w:val="en-US"/>
          <w14:textFill>
            <w14:solidFill>
              <w14:schemeClr w14:val="tx1"/>
            </w14:solidFill>
          </w14:textFill>
        </w:rPr>
        <w:t>综合防治机制，加强传染病分级分类管理，努力降低重大传染病的发病</w:t>
      </w:r>
      <w:r>
        <w:rPr>
          <w:rFonts w:hint="eastAsia" w:ascii="仿宋_GB2312" w:hAnsi="仿宋_GB2312" w:eastAsia="仿宋_GB2312" w:cs="仿宋_GB2312"/>
          <w:b w:val="0"/>
          <w:bCs/>
          <w:color w:val="000000" w:themeColor="text1"/>
          <w:sz w:val="32"/>
          <w:szCs w:val="32"/>
          <w:lang w:val="en-US"/>
          <w14:textFill>
            <w14:solidFill>
              <w14:schemeClr w14:val="tx1"/>
            </w14:solidFill>
          </w14:textFill>
        </w:rPr>
        <w:t>率</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w:t>
      </w:r>
      <w:r>
        <w:rPr>
          <w:rFonts w:hint="eastAsia" w:ascii="仿宋" w:hAnsi="仿宋" w:eastAsia="仿宋" w:cs="仿宋"/>
          <w:b w:val="0"/>
          <w:bCs/>
          <w:color w:val="000000" w:themeColor="text1"/>
          <w:sz w:val="32"/>
          <w:szCs w:val="32"/>
          <w:lang w:val="en-US"/>
          <w14:textFill>
            <w14:solidFill>
              <w14:schemeClr w14:val="tx1"/>
            </w14:solidFill>
          </w14:textFill>
        </w:rPr>
        <w:t>开展卫生应急演练，进一步提高突发公共卫生事件和紧急医学救援应急队伍处置能力</w:t>
      </w:r>
      <w:r>
        <w:rPr>
          <w:rFonts w:hint="eastAsia" w:ascii="仿宋" w:hAnsi="仿宋" w:eastAsia="仿宋" w:cs="仿宋"/>
          <w:b w:val="0"/>
          <w:bCs/>
          <w:color w:val="000000" w:themeColor="text1"/>
          <w:sz w:val="32"/>
          <w:szCs w:val="32"/>
          <w:lang w:val="en-US" w:eastAsia="zh-CN"/>
          <w14:textFill>
            <w14:solidFill>
              <w14:schemeClr w14:val="tx1"/>
            </w14:solidFill>
          </w14:textFill>
        </w:rPr>
        <w:t>，</w:t>
      </w:r>
      <w:r>
        <w:rPr>
          <w:rFonts w:hint="eastAsia" w:ascii="仿宋" w:hAnsi="仿宋" w:eastAsia="仿宋" w:cs="仿宋"/>
          <w:b w:val="0"/>
          <w:bCs/>
          <w:color w:val="000000" w:themeColor="text1"/>
          <w:sz w:val="32"/>
          <w:szCs w:val="32"/>
          <w:lang w:val="en-US"/>
          <w14:textFill>
            <w14:solidFill>
              <w14:schemeClr w14:val="tx1"/>
            </w14:solidFill>
          </w14:textFill>
        </w:rPr>
        <w:t>提高传染病疫情和突发公</w:t>
      </w:r>
      <w:r>
        <w:rPr>
          <w:rFonts w:hint="eastAsia" w:ascii="仿宋_GB2312" w:hAnsi="仿宋_GB2312" w:eastAsia="仿宋_GB2312" w:cs="仿宋_GB2312"/>
          <w:b w:val="0"/>
          <w:bCs/>
          <w:color w:val="000000" w:themeColor="text1"/>
          <w:sz w:val="32"/>
          <w:szCs w:val="32"/>
          <w:lang w:val="en-US"/>
          <w14:textFill>
            <w14:solidFill>
              <w14:schemeClr w14:val="tx1"/>
            </w14:solidFill>
          </w14:textFill>
        </w:rPr>
        <w:t>共卫生事件监测预警能力，提高重点传染病和群体不明原因疾病的</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监测</w:t>
      </w:r>
      <w:r>
        <w:rPr>
          <w:rFonts w:hint="eastAsia" w:ascii="仿宋_GB2312" w:hAnsi="仿宋_GB2312" w:eastAsia="仿宋_GB2312" w:cs="仿宋_GB2312"/>
          <w:b w:val="0"/>
          <w:bCs/>
          <w:color w:val="000000" w:themeColor="text1"/>
          <w:sz w:val="32"/>
          <w:szCs w:val="32"/>
          <w:lang w:val="en-US"/>
          <w14:textFill>
            <w14:solidFill>
              <w14:schemeClr w14:val="tx1"/>
            </w14:solidFill>
          </w14:textFill>
        </w:rPr>
        <w:t>能力，掌握传染性疾病流行的动态变化，</w:t>
      </w:r>
      <w:r>
        <w:rPr>
          <w:rFonts w:hint="eastAsia" w:ascii="仿宋" w:hAnsi="仿宋" w:eastAsia="仿宋"/>
          <w:color w:val="000000" w:themeColor="text1"/>
          <w:sz w:val="32"/>
          <w:szCs w:val="32"/>
          <w14:textFill>
            <w14:solidFill>
              <w14:schemeClr w14:val="tx1"/>
            </w14:solidFill>
          </w14:textFill>
        </w:rPr>
        <w:t>突发公共卫生事件预警信息响应率达到100%</w:t>
      </w:r>
      <w:r>
        <w:rPr>
          <w:rFonts w:hint="eastAsia" w:ascii="仿宋" w:hAnsi="仿宋" w:eastAsia="仿宋"/>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提高卫生监督能力和水平。</w:t>
      </w:r>
      <w:r>
        <w:rPr>
          <w:rFonts w:hint="eastAsia" w:ascii="仿宋" w:hAnsi="仿宋" w:eastAsia="仿宋" w:cs="仿宋"/>
          <w:i w:val="0"/>
          <w:caps w:val="0"/>
          <w:color w:val="000000" w:themeColor="text1"/>
          <w:spacing w:val="0"/>
          <w:sz w:val="32"/>
          <w:szCs w:val="32"/>
          <w14:textFill>
            <w14:solidFill>
              <w14:schemeClr w14:val="tx1"/>
            </w14:solidFill>
          </w14:textFill>
        </w:rPr>
        <w:t>进一步深化卫生监督体制改革，加强卫生监督体系建设，提高卫生行政执法监督能力和水平，加强卫生法律法规和卫生标准建设，建</w:t>
      </w:r>
      <w:r>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t>全</w:t>
      </w:r>
      <w:r>
        <w:rPr>
          <w:rFonts w:hint="eastAsia" w:ascii="仿宋" w:hAnsi="仿宋" w:eastAsia="仿宋" w:cs="仿宋"/>
          <w:i w:val="0"/>
          <w:caps w:val="0"/>
          <w:color w:val="000000" w:themeColor="text1"/>
          <w:spacing w:val="0"/>
          <w:sz w:val="32"/>
          <w:szCs w:val="32"/>
          <w14:textFill>
            <w14:solidFill>
              <w14:schemeClr w14:val="tx1"/>
            </w14:solidFill>
          </w14:textFill>
        </w:rPr>
        <w:t>与经济社会发展相适应的卫生法制和标准体系</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t>完善</w:t>
      </w:r>
      <w:r>
        <w:rPr>
          <w:rFonts w:hint="eastAsia" w:ascii="仿宋" w:hAnsi="仿宋" w:eastAsia="仿宋" w:cs="仿宋"/>
          <w:i w:val="0"/>
          <w:caps w:val="0"/>
          <w:color w:val="000000" w:themeColor="text1"/>
          <w:spacing w:val="0"/>
          <w:sz w:val="32"/>
          <w:szCs w:val="32"/>
          <w14:textFill>
            <w14:solidFill>
              <w14:schemeClr w14:val="tx1"/>
            </w14:solidFill>
          </w14:textFill>
        </w:rPr>
        <w:t>卫生监督监测信息网络建设，重视群众关注热点和投诉举报</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加强事中事后监管，落实“双随机”监督检查，全面执行“三项制度”</w:t>
      </w:r>
      <w:r>
        <w:rPr>
          <w:rFonts w:hint="eastAsia" w:ascii="仿宋" w:hAnsi="仿宋" w:eastAsia="仿宋"/>
          <w:color w:val="000000" w:themeColor="text1"/>
          <w:sz w:val="32"/>
          <w:szCs w:val="32"/>
          <w:lang w:eastAsia="zh-CN"/>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切实整顿医疗服务市场，坚决打击非法行医</w:t>
      </w:r>
      <w:r>
        <w:rPr>
          <w:rFonts w:hint="eastAsia" w:ascii="仿宋" w:hAnsi="仿宋" w:eastAsia="仿宋"/>
          <w:color w:val="000000" w:themeColor="text1"/>
          <w:sz w:val="32"/>
          <w:szCs w:val="32"/>
          <w:lang w:eastAsia="zh-CN"/>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加强对供水单位的监督检查，保障居民生活饮用水安全</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加强对企业职业健康日常监管，确保企业健康运行</w:t>
      </w:r>
      <w:r>
        <w:rPr>
          <w:rFonts w:ascii="仿宋" w:hAnsi="仿宋" w:eastAsia="仿宋"/>
          <w:color w:val="000000" w:themeColor="text1"/>
          <w:sz w:val="32"/>
          <w:szCs w:val="32"/>
          <w14:textFill>
            <w14:solidFill>
              <w14:schemeClr w14:val="tx1"/>
            </w14:solidFill>
          </w14:textFill>
        </w:rPr>
        <w:t>。加强住宿、游泳场所、洗浴场所及美容美发等公共场所量化分级管理率，提高管理水平，实现全区公共场所卫生安全。</w:t>
      </w:r>
    </w:p>
    <w:p>
      <w:pPr>
        <w:pStyle w:val="3"/>
        <w:keepNext w:val="0"/>
        <w:keepLines w:val="0"/>
        <w:pageBreakBefore w:val="0"/>
        <w:widowControl w:val="0"/>
        <w:numPr>
          <w:ilvl w:val="0"/>
          <w:numId w:val="0"/>
        </w:numPr>
        <w:kinsoku/>
        <w:wordWrap/>
        <w:topLinePunct w:val="0"/>
        <w:autoSpaceDE/>
        <w:autoSpaceDN/>
        <w:bidi w:val="0"/>
        <w:adjustRightInd/>
        <w:snapToGrid/>
        <w:spacing w:before="0" w:beforeAutospacing="0" w:after="0" w:afterAutospacing="0" w:line="560" w:lineRule="exact"/>
        <w:ind w:firstLine="640" w:firstLineChars="200"/>
        <w:jc w:val="both"/>
        <w:rPr>
          <w:rFonts w:hint="eastAsia" w:ascii="楷体" w:hAnsi="楷体" w:eastAsia="楷体" w:cs="楷体"/>
          <w:b w:val="0"/>
          <w:bCs w:val="0"/>
          <w:color w:val="000000" w:themeColor="text1"/>
          <w:kern w:val="2"/>
          <w:sz w:val="32"/>
          <w:szCs w:val="32"/>
          <w:highlight w:val="none"/>
          <w:lang w:val="en-US" w:eastAsia="zh-CN"/>
          <w14:textFill>
            <w14:solidFill>
              <w14:schemeClr w14:val="tx1"/>
            </w14:solidFill>
          </w14:textFill>
        </w:rPr>
      </w:pPr>
      <w:r>
        <w:rPr>
          <w:rFonts w:hint="eastAsia" w:ascii="楷体" w:hAnsi="楷体" w:eastAsia="楷体" w:cs="楷体"/>
          <w:b w:val="0"/>
          <w:bCs w:val="0"/>
          <w:color w:val="000000" w:themeColor="text1"/>
          <w:kern w:val="2"/>
          <w:sz w:val="32"/>
          <w:szCs w:val="32"/>
          <w:highlight w:val="none"/>
          <w:lang w:val="en-US" w:eastAsia="zh-CN"/>
          <w14:textFill>
            <w14:solidFill>
              <w14:schemeClr w14:val="tx1"/>
            </w14:solidFill>
          </w14:textFill>
        </w:rPr>
        <w:t>（五）以政策落实为保障，推进计生工作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color w:val="000000" w:themeColor="text1"/>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加强人口变动情况监测。</w:t>
      </w:r>
      <w:r>
        <w:rPr>
          <w:rFonts w:hint="eastAsia" w:ascii="仿宋" w:hAnsi="仿宋" w:eastAsia="仿宋" w:cs="仿宋"/>
          <w:color w:val="000000" w:themeColor="text1"/>
          <w:sz w:val="32"/>
          <w:szCs w:val="32"/>
          <w14:textFill>
            <w14:solidFill>
              <w14:schemeClr w14:val="tx1"/>
            </w14:solidFill>
          </w14:textFill>
        </w:rPr>
        <w:t>建立出生人口监测和预警机制，科学研判出生人口变动趋势，强化政策实施情况的评估和监督，有效管控波动和风险。严厉打击非法代孕、非法领养及拐卖婴儿的行为。进一步优化办事流程，做好流动人口在居住地的生育登记和电子婚育证明办理等服务。广泛开展生殖健康科普宣传，增强流动人口等人群自我保健意识和防护能力。</w:t>
      </w:r>
      <w:r>
        <w:rPr>
          <w:rFonts w:hint="eastAsia" w:ascii="仿宋" w:hAnsi="仿宋" w:eastAsia="仿宋" w:cs="仿宋"/>
          <w:color w:val="000000" w:themeColor="text1"/>
          <w:sz w:val="32"/>
          <w:szCs w:val="32"/>
          <w:lang w:val="en-US" w:eastAsia="zh-CN"/>
          <w14:textFill>
            <w14:solidFill>
              <w14:schemeClr w14:val="tx1"/>
            </w14:solidFill>
          </w14:textFill>
        </w:rPr>
        <w:t>落实</w:t>
      </w:r>
      <w:r>
        <w:rPr>
          <w:rFonts w:hint="eastAsia" w:ascii="仿宋" w:hAnsi="仿宋" w:eastAsia="仿宋" w:cs="仿宋"/>
          <w:b w:val="0"/>
          <w:bCs w:val="0"/>
          <w:color w:val="000000" w:themeColor="text1"/>
          <w:sz w:val="32"/>
          <w:szCs w:val="32"/>
          <w14:textFill>
            <w14:solidFill>
              <w14:schemeClr w14:val="tx1"/>
            </w14:solidFill>
          </w14:textFill>
        </w:rPr>
        <w:t>生育登记和再生育审批</w:t>
      </w:r>
      <w:r>
        <w:rPr>
          <w:rFonts w:hint="eastAsia" w:ascii="仿宋" w:hAnsi="仿宋" w:eastAsia="仿宋" w:cs="仿宋"/>
          <w:b w:val="0"/>
          <w:bCs w:val="0"/>
          <w:color w:val="000000" w:themeColor="text1"/>
          <w:sz w:val="32"/>
          <w:szCs w:val="32"/>
          <w:lang w:val="en-US" w:eastAsia="zh-CN"/>
          <w14:textFill>
            <w14:solidFill>
              <w14:schemeClr w14:val="tx1"/>
            </w14:solidFill>
          </w14:textFill>
        </w:rPr>
        <w:t>工作，</w:t>
      </w:r>
      <w:r>
        <w:rPr>
          <w:rFonts w:hint="eastAsia" w:ascii="仿宋" w:hAnsi="仿宋" w:eastAsia="仿宋" w:cs="仿宋"/>
          <w:color w:val="000000" w:themeColor="text1"/>
          <w:sz w:val="32"/>
          <w:szCs w:val="32"/>
          <w:lang w:val="en-US" w:eastAsia="zh-CN"/>
          <w14:textFill>
            <w14:solidFill>
              <w14:schemeClr w14:val="tx1"/>
            </w14:solidFill>
          </w14:textFill>
        </w:rPr>
        <w:t>做好出生人口录入工作，及时把我区户籍出生人口信息录入到《辽宁人口信息管理系统》。</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落实计划生育各项扶助政策。</w:t>
      </w:r>
      <w:r>
        <w:rPr>
          <w:rFonts w:hint="eastAsia" w:ascii="仿宋" w:hAnsi="仿宋" w:eastAsia="仿宋" w:cs="仿宋"/>
          <w:color w:val="000000" w:themeColor="text1"/>
          <w:sz w:val="32"/>
          <w:szCs w:val="32"/>
          <w:lang w:val="en-US" w:eastAsia="zh-CN"/>
          <w14:textFill>
            <w14:solidFill>
              <w14:schemeClr w14:val="tx1"/>
            </w14:solidFill>
          </w14:textFill>
        </w:rPr>
        <w:t>完成</w:t>
      </w:r>
      <w:r>
        <w:rPr>
          <w:rFonts w:hint="eastAsia" w:ascii="仿宋" w:hAnsi="仿宋" w:eastAsia="仿宋" w:cs="仿宋"/>
          <w:b w:val="0"/>
          <w:bCs w:val="0"/>
          <w:color w:val="000000" w:themeColor="text1"/>
          <w:sz w:val="32"/>
          <w:szCs w:val="32"/>
          <w14:textFill>
            <w14:solidFill>
              <w14:schemeClr w14:val="tx1"/>
            </w14:solidFill>
          </w14:textFill>
        </w:rPr>
        <w:t>农村部分计划生育家庭奖励扶助</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计划生育家庭特别扶助（独生子女伤残或死亡家庭）</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农村直通车独生子女父母奖励、城镇无工作单位独生子女父母奖励、终生未生养育夫妻养老补助、市区属关停并转企业独生子女父母退休补助、中省直关停并转企业独生子女父母退休补助、中心户长补助、城镇无工作单位家庭独生子女父母补助等</w:t>
      </w:r>
      <w:r>
        <w:rPr>
          <w:rFonts w:hint="eastAsia" w:ascii="仿宋" w:hAnsi="仿宋" w:eastAsia="仿宋" w:cs="仿宋"/>
          <w:color w:val="000000" w:themeColor="text1"/>
          <w:sz w:val="32"/>
          <w:szCs w:val="32"/>
          <w:lang w:val="en-US" w:eastAsia="zh-CN"/>
          <w14:textFill>
            <w14:solidFill>
              <w14:schemeClr w14:val="tx1"/>
            </w14:solidFill>
          </w14:textFill>
        </w:rPr>
        <w:t>计划生育父母（家庭）两项奖励扶助政策执行准确、目标人群精准和资金发放无误，完成率100%；全面落实计划生育特殊家庭“三个覆盖”和特殊家庭</w:t>
      </w:r>
      <w:r>
        <w:rPr>
          <w:rFonts w:hint="eastAsia" w:ascii="仿宋" w:hAnsi="仿宋" w:eastAsia="仿宋" w:cs="仿宋"/>
          <w:color w:val="000000" w:themeColor="text1"/>
          <w:sz w:val="32"/>
          <w:szCs w:val="32"/>
          <w:lang w:eastAsia="zh-CN"/>
          <w14:textFill>
            <w14:solidFill>
              <w14:schemeClr w14:val="tx1"/>
            </w14:solidFill>
          </w14:textFill>
        </w:rPr>
        <w:t>医生签约工作，</w:t>
      </w:r>
      <w:r>
        <w:rPr>
          <w:rFonts w:hint="eastAsia" w:ascii="仿宋" w:hAnsi="仿宋" w:eastAsia="仿宋" w:cs="仿宋"/>
          <w:color w:val="000000" w:themeColor="text1"/>
          <w:sz w:val="32"/>
          <w:szCs w:val="32"/>
          <w:lang w:val="en-US" w:eastAsia="zh-CN"/>
          <w14:textFill>
            <w14:solidFill>
              <w14:schemeClr w14:val="tx1"/>
            </w14:solidFill>
          </w14:textFill>
        </w:rPr>
        <w:t>使计划生育特殊家庭联系人制度完成率100%。</w:t>
      </w:r>
    </w:p>
    <w:p>
      <w:pPr>
        <w:keepNext w:val="0"/>
        <w:keepLines w:val="0"/>
        <w:pageBreakBefore w:val="0"/>
        <w:kinsoku/>
        <w:wordWrap/>
        <w:topLinePunct w:val="0"/>
        <w:autoSpaceDE/>
        <w:autoSpaceDN/>
        <w:bidi w:val="0"/>
        <w:spacing w:beforeAutospacing="0" w:afterAutospacing="0" w:line="560" w:lineRule="exact"/>
        <w:ind w:firstLine="643" w:firstLineChars="200"/>
        <w:jc w:val="both"/>
        <w:rPr>
          <w:rFonts w:hint="default"/>
          <w:color w:val="000000" w:themeColor="text1"/>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提高</w:t>
      </w:r>
      <w:r>
        <w:rPr>
          <w:rFonts w:hint="eastAsia" w:ascii="仿宋" w:hAnsi="仿宋" w:eastAsia="仿宋" w:cs="仿宋"/>
          <w:b/>
          <w:bCs/>
          <w:color w:val="000000" w:themeColor="text1"/>
          <w:sz w:val="32"/>
          <w:szCs w:val="32"/>
          <w14:textFill>
            <w14:solidFill>
              <w14:schemeClr w14:val="tx1"/>
            </w14:solidFill>
          </w14:textFill>
        </w:rPr>
        <w:t>妇幼卫生保健</w:t>
      </w:r>
      <w:r>
        <w:rPr>
          <w:rFonts w:hint="eastAsia" w:ascii="仿宋" w:hAnsi="仿宋" w:eastAsia="仿宋" w:cs="仿宋"/>
          <w:b/>
          <w:bCs/>
          <w:color w:val="000000" w:themeColor="text1"/>
          <w:sz w:val="32"/>
          <w:szCs w:val="32"/>
          <w:lang w:val="en-US" w:eastAsia="zh-CN"/>
          <w14:textFill>
            <w14:solidFill>
              <w14:schemeClr w14:val="tx1"/>
            </w14:solidFill>
          </w14:textFill>
        </w:rPr>
        <w:t>能力水平。</w:t>
      </w:r>
      <w:r>
        <w:rPr>
          <w:rFonts w:hint="eastAsia" w:ascii="仿宋" w:hAnsi="仿宋" w:eastAsia="仿宋" w:cs="仿宋_GB2312"/>
          <w:color w:val="000000" w:themeColor="text1"/>
          <w:sz w:val="32"/>
          <w:szCs w:val="32"/>
          <w14:textFill>
            <w14:solidFill>
              <w14:schemeClr w14:val="tx1"/>
            </w14:solidFill>
          </w14:textFill>
        </w:rPr>
        <w:t>政府及社会对妇幼工作关注度提高，妇女儿童生命质量和健康水平逐</w:t>
      </w:r>
      <w:r>
        <w:rPr>
          <w:rFonts w:hint="eastAsia" w:ascii="仿宋" w:hAnsi="仿宋" w:eastAsia="仿宋" w:cs="仿宋_GB2312"/>
          <w:color w:val="000000" w:themeColor="text1"/>
          <w:sz w:val="32"/>
          <w:szCs w:val="32"/>
          <w:lang w:val="en-US" w:eastAsia="zh-CN"/>
          <w14:textFill>
            <w14:solidFill>
              <w14:schemeClr w14:val="tx1"/>
            </w14:solidFill>
          </w14:textFill>
        </w:rPr>
        <w:t>年</w:t>
      </w:r>
      <w:r>
        <w:rPr>
          <w:rFonts w:hint="eastAsia" w:ascii="仿宋" w:hAnsi="仿宋" w:eastAsia="仿宋" w:cs="仿宋_GB2312"/>
          <w:color w:val="000000" w:themeColor="text1"/>
          <w:sz w:val="32"/>
          <w:szCs w:val="32"/>
          <w14:textFill>
            <w14:solidFill>
              <w14:schemeClr w14:val="tx1"/>
            </w14:solidFill>
          </w14:textFill>
        </w:rPr>
        <w:t>提高</w:t>
      </w:r>
      <w:r>
        <w:rPr>
          <w:rFonts w:hint="eastAsia" w:ascii="仿宋" w:hAnsi="仿宋" w:eastAsia="仿宋"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逐步</w:t>
      </w:r>
      <w:r>
        <w:rPr>
          <w:rFonts w:hint="eastAsia" w:ascii="仿宋_GB2312" w:hAnsi="仿宋_GB2312" w:eastAsia="仿宋_GB2312" w:cs="仿宋_GB2312"/>
          <w:color w:val="000000" w:themeColor="text1"/>
          <w:sz w:val="32"/>
          <w:szCs w:val="32"/>
          <w:lang w:val="en-US"/>
          <w14:textFill>
            <w14:solidFill>
              <w14:schemeClr w14:val="tx1"/>
            </w14:solidFill>
          </w14:textFill>
        </w:rPr>
        <w:t>加大全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lang w:val="en-US"/>
          <w14:textFill>
            <w14:solidFill>
              <w14:schemeClr w14:val="tx1"/>
            </w14:solidFill>
          </w14:textFill>
        </w:rPr>
        <w:t>妇幼保健、优生优育、生殖健康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14:textFill>
            <w14:solidFill>
              <w14:schemeClr w14:val="tx1"/>
            </w14:solidFill>
          </w14:textFill>
        </w:rPr>
        <w:t>妇幼卫生信息监测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14:textFill>
            <w14:solidFill>
              <w14:schemeClr w14:val="tx1"/>
            </w14:solidFill>
          </w14:textFill>
        </w:rPr>
        <w:t>妇幼公共卫生业务指导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w:t>
      </w:r>
      <w:r>
        <w:rPr>
          <w:rFonts w:hint="eastAsia" w:ascii="仿宋_GB2312" w:hAnsi="仿宋_GB2312" w:eastAsia="仿宋_GB2312" w:cs="仿宋_GB2312"/>
          <w:color w:val="000000" w:themeColor="text1"/>
          <w:sz w:val="32"/>
          <w:szCs w:val="32"/>
          <w:lang w:val="en-US"/>
          <w14:textFill>
            <w14:solidFill>
              <w14:schemeClr w14:val="tx1"/>
            </w14:solidFill>
          </w14:textFill>
        </w:rPr>
        <w:t>力度，强化妇幼保健的公共卫生职能，</w:t>
      </w:r>
      <w:r>
        <w:rPr>
          <w:rFonts w:hint="eastAsia" w:ascii="仿宋" w:hAnsi="仿宋" w:eastAsia="仿宋" w:cs="仿宋_GB2312"/>
          <w:color w:val="000000" w:themeColor="text1"/>
          <w:sz w:val="32"/>
          <w:szCs w:val="32"/>
          <w:lang w:val="en-US" w:eastAsia="zh-CN"/>
          <w14:textFill>
            <w14:solidFill>
              <w14:schemeClr w14:val="tx1"/>
            </w14:solidFill>
          </w14:textFill>
        </w:rPr>
        <w:t>加强</w:t>
      </w:r>
      <w:r>
        <w:rPr>
          <w:rFonts w:hint="eastAsia" w:ascii="仿宋" w:hAnsi="仿宋" w:eastAsia="仿宋" w:cs="仿宋_GB2312"/>
          <w:color w:val="000000" w:themeColor="text1"/>
          <w:sz w:val="32"/>
          <w:szCs w:val="32"/>
          <w14:textFill>
            <w14:solidFill>
              <w14:schemeClr w14:val="tx1"/>
            </w14:solidFill>
          </w14:textFill>
        </w:rPr>
        <w:t>妇幼工作人员队伍建设，</w:t>
      </w:r>
      <w:r>
        <w:rPr>
          <w:rFonts w:hint="eastAsia" w:ascii="仿宋_GB2312" w:hAnsi="仿宋_GB2312" w:eastAsia="仿宋_GB2312" w:cs="仿宋_GB2312"/>
          <w:color w:val="000000" w:themeColor="text1"/>
          <w:sz w:val="32"/>
          <w:szCs w:val="32"/>
          <w:lang w:val="en-US"/>
          <w14:textFill>
            <w14:solidFill>
              <w14:schemeClr w14:val="tx1"/>
            </w14:solidFill>
          </w14:textFill>
        </w:rPr>
        <w:t>积极培养专业人才，提高妇幼保健队伍的业务素质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 w:hAnsi="仿宋" w:eastAsia="仿宋" w:cs="仿宋_GB2312"/>
          <w:color w:val="000000" w:themeColor="text1"/>
          <w:sz w:val="32"/>
          <w:szCs w:val="32"/>
          <w14:textFill>
            <w14:solidFill>
              <w14:schemeClr w14:val="tx1"/>
            </w14:solidFill>
          </w14:textFill>
        </w:rPr>
        <w:t>区、乡、村三级妇幼保健网络逐步完善，妇幼保健服务水平逐步提高；做好优生优育全程服务，妇女儿童基本医疗卫生服务得到保障；强化孕产妇和新生儿危急重症救治能力建设，孕产妇和婴儿死亡率进一步降低；继续开展“两癌免费筛查”项目，妇女健康水平逐步提高；大力开展“孕前优生”、“增补叶酸”项目工作，加强出生缺陷综合防治，推进新生儿疾病筛查、诊断和治疗工作，出生人口素质逐步提高；强化“婚前健康检查”工作，婚前健康检查意识不断提升，婚检率逐步提高。</w:t>
      </w:r>
      <w:r>
        <w:rPr>
          <w:rFonts w:hint="eastAsia" w:ascii="仿宋_GB2312" w:hAnsi="仿宋_GB2312" w:eastAsia="仿宋_GB2312" w:cs="仿宋_GB2312"/>
          <w:color w:val="000000" w:themeColor="text1"/>
          <w:sz w:val="32"/>
          <w:szCs w:val="32"/>
          <w:lang w:val="en-US"/>
          <w14:textFill>
            <w14:solidFill>
              <w14:schemeClr w14:val="tx1"/>
            </w14:solidFill>
          </w14:textFill>
        </w:rPr>
        <w:t>确保孕产妇死亡率和5岁以下儿童死亡率控制11/10万以下和7‰以下。</w:t>
      </w:r>
    </w:p>
    <w:p>
      <w:pPr>
        <w:pStyle w:val="3"/>
        <w:keepNext w:val="0"/>
        <w:keepLines w:val="0"/>
        <w:pageBreakBefore w:val="0"/>
        <w:widowControl w:val="0"/>
        <w:numPr>
          <w:ilvl w:val="0"/>
          <w:numId w:val="0"/>
        </w:numPr>
        <w:kinsoku/>
        <w:wordWrap/>
        <w:topLinePunct w:val="0"/>
        <w:autoSpaceDE/>
        <w:autoSpaceDN/>
        <w:bidi w:val="0"/>
        <w:adjustRightInd/>
        <w:snapToGrid/>
        <w:spacing w:before="0" w:beforeAutospacing="0" w:after="0" w:afterAutospacing="0" w:line="560" w:lineRule="exact"/>
        <w:ind w:firstLine="640" w:firstLineChars="200"/>
        <w:jc w:val="both"/>
        <w:rPr>
          <w:rFonts w:hint="eastAsia" w:ascii="楷体" w:hAnsi="楷体" w:eastAsia="楷体" w:cs="楷体"/>
          <w:b w:val="0"/>
          <w:bCs w:val="0"/>
          <w:color w:val="000000" w:themeColor="text1"/>
          <w:kern w:val="2"/>
          <w:sz w:val="32"/>
          <w:szCs w:val="32"/>
          <w:highlight w:val="none"/>
          <w:lang w:val="en-US" w:eastAsia="zh-CN"/>
          <w14:textFill>
            <w14:solidFill>
              <w14:schemeClr w14:val="tx1"/>
            </w14:solidFill>
          </w14:textFill>
        </w:rPr>
      </w:pPr>
      <w:r>
        <w:rPr>
          <w:rFonts w:hint="eastAsia" w:ascii="楷体" w:hAnsi="楷体" w:eastAsia="楷体" w:cs="楷体"/>
          <w:b w:val="0"/>
          <w:bCs w:val="0"/>
          <w:color w:val="000000" w:themeColor="text1"/>
          <w:kern w:val="2"/>
          <w:sz w:val="32"/>
          <w:szCs w:val="32"/>
          <w:highlight w:val="none"/>
          <w:lang w:val="en-US" w:eastAsia="zh-CN"/>
          <w14:textFill>
            <w14:solidFill>
              <w14:schemeClr w14:val="tx1"/>
            </w14:solidFill>
          </w14:textFill>
        </w:rPr>
        <w:t>（六）以医养结合为重点，发展健康产业</w:t>
      </w:r>
    </w:p>
    <w:p>
      <w:pPr>
        <w:pStyle w:val="4"/>
        <w:keepNext w:val="0"/>
        <w:keepLines w:val="0"/>
        <w:pageBreakBefore w:val="0"/>
        <w:numPr>
          <w:ilvl w:val="0"/>
          <w:numId w:val="0"/>
        </w:numPr>
        <w:kinsoku/>
        <w:wordWrap/>
        <w:topLinePunct w:val="0"/>
        <w:autoSpaceDE/>
        <w:autoSpaceDN/>
        <w:bidi w:val="0"/>
        <w:spacing w:before="0" w:beforeAutospacing="0" w:after="0" w:afterAutospacing="0" w:line="560" w:lineRule="exact"/>
        <w:ind w:firstLine="643" w:firstLineChars="200"/>
        <w:jc w:val="both"/>
        <w:rPr>
          <w:rStyle w:val="23"/>
          <w:rFonts w:hint="eastAsia"/>
          <w:b/>
          <w:bCs/>
          <w:color w:val="000000" w:themeColor="text1"/>
          <w14:textFill>
            <w14:solidFill>
              <w14:schemeClr w14:val="tx1"/>
            </w14:solidFill>
          </w14:textFill>
        </w:rPr>
      </w:pPr>
      <w:r>
        <w:rPr>
          <w:rStyle w:val="23"/>
          <w:rFonts w:hint="eastAsia"/>
          <w:b/>
          <w:bCs/>
          <w:color w:val="000000" w:themeColor="text1"/>
          <w14:textFill>
            <w14:solidFill>
              <w14:schemeClr w14:val="tx1"/>
            </w14:solidFill>
          </w14:textFill>
        </w:rPr>
        <w:t>扩大医养融合</w:t>
      </w:r>
      <w:r>
        <w:rPr>
          <w:rStyle w:val="23"/>
          <w:rFonts w:hint="eastAsia" w:eastAsia="仿宋_GB2312"/>
          <w:b/>
          <w:bCs/>
          <w:color w:val="000000" w:themeColor="text1"/>
          <w:lang w:val="en-US" w:eastAsia="zh-CN"/>
          <w14:textFill>
            <w14:solidFill>
              <w14:schemeClr w14:val="tx1"/>
            </w14:solidFill>
          </w14:textFill>
        </w:rPr>
        <w:t>体系</w:t>
      </w:r>
      <w:r>
        <w:rPr>
          <w:rStyle w:val="23"/>
          <w:rFonts w:hint="eastAsia"/>
          <w:b/>
          <w:bCs/>
          <w:color w:val="000000" w:themeColor="text1"/>
          <w14:textFill>
            <w14:solidFill>
              <w14:schemeClr w14:val="tx1"/>
            </w14:solidFill>
          </w14:textFill>
        </w:rPr>
        <w:t>建设。</w:t>
      </w:r>
      <w:r>
        <w:rPr>
          <w:rFonts w:hint="eastAsia" w:ascii="仿宋" w:hAnsi="仿宋" w:eastAsia="仿宋" w:cs="仿宋"/>
          <w:b w:val="0"/>
          <w:bCs/>
          <w:color w:val="000000" w:themeColor="text1"/>
          <w:sz w:val="32"/>
          <w:szCs w:val="32"/>
          <w:highlight w:val="none"/>
          <w:lang w:val="en-US" w:eastAsia="zh-CN"/>
          <w14:textFill>
            <w14:solidFill>
              <w14:schemeClr w14:val="tx1"/>
            </w14:solidFill>
          </w14:textFill>
        </w:rPr>
        <w:t>沈北新区老年人口占比较多，让医疗与养老资源有机结合、服务功能有效衔接，满足老年群体养老服务需求，解决好老年人的医疗和健康问题，已成为我区医疗服务发展的必然趋势。通过</w:t>
      </w:r>
      <w:r>
        <w:rPr>
          <w:rFonts w:hint="eastAsia" w:ascii="仿宋" w:hAnsi="仿宋" w:eastAsia="仿宋" w:cs="仿宋"/>
          <w:b w:val="0"/>
          <w:bCs/>
          <w:color w:val="000000" w:themeColor="text1"/>
          <w:sz w:val="32"/>
          <w:szCs w:val="32"/>
          <w:highlight w:val="none"/>
          <w:lang w:eastAsia="zh-CN"/>
          <w14:textFill>
            <w14:solidFill>
              <w14:schemeClr w14:val="tx1"/>
            </w14:solidFill>
          </w14:textFill>
        </w:rPr>
        <w:t>发挥基层医疗机构的分布优势，大力推进医养结合发展，</w:t>
      </w:r>
      <w:r>
        <w:rPr>
          <w:rFonts w:hint="eastAsia" w:ascii="仿宋" w:hAnsi="仿宋" w:eastAsia="仿宋" w:cs="仿宋"/>
          <w:b w:val="0"/>
          <w:bCs/>
          <w:color w:val="000000" w:themeColor="text1"/>
          <w:sz w:val="32"/>
          <w:szCs w:val="32"/>
          <w:highlight w:val="none"/>
          <w:lang w:val="en-US" w:eastAsia="zh-CN"/>
          <w14:textFill>
            <w14:solidFill>
              <w14:schemeClr w14:val="tx1"/>
            </w14:solidFill>
          </w14:textFill>
        </w:rPr>
        <w:t>深化医养签约合作，建立双向转诊机制，严格按照出入院标准和双向转诊指征，为老年人提供连续、全流程的医疗卫生服务；通过合理规划机构设置，探索服务资源整合，利用基层医疗机构现有资源，重新划分医养结合区域，增强养老范围，针对服务老年人口过多的区域，可与区域内现存的养老机构，探索资源整合；通过加强信息化支撑，提供针对性管理服务，利用区域人口健康信息化平台，实现老年人健康信息共享，发挥远程诊断优势，实现老年人疑难病症的实时诊断与反馈，提供针对性的管理服务，不断完善我区的医养结合体系。通过</w:t>
      </w:r>
      <w:r>
        <w:rPr>
          <w:rFonts w:hint="eastAsia" w:ascii="仿宋" w:hAnsi="仿宋" w:eastAsia="仿宋" w:cs="仿宋"/>
          <w:b w:val="0"/>
          <w:bCs/>
          <w:color w:val="000000" w:themeColor="text1"/>
          <w:sz w:val="32"/>
          <w:szCs w:val="32"/>
          <w14:textFill>
            <w14:solidFill>
              <w14:schemeClr w14:val="tx1"/>
            </w14:solidFill>
          </w14:textFill>
        </w:rPr>
        <w:t>探索和鼓励医疗机构与养老机构开展中医药健康养老服务体系，整合中医医疗、护理、养老和康复资源，为老年人提供治疗期住院、康复期护理、稳定期生活照料以及安宁疗护一体化的中医药健康养老服务。</w:t>
      </w:r>
    </w:p>
    <w:p>
      <w:pPr>
        <w:keepNext w:val="0"/>
        <w:keepLines w:val="0"/>
        <w:pageBreakBefore w:val="0"/>
        <w:kinsoku/>
        <w:wordWrap/>
        <w:topLinePunct w:val="0"/>
        <w:autoSpaceDE/>
        <w:autoSpaceDN/>
        <w:bidi w:val="0"/>
        <w:spacing w:beforeAutospacing="0" w:afterAutospacing="0" w:line="560" w:lineRule="exact"/>
        <w:ind w:firstLine="643"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发展智慧健康服务产业。</w:t>
      </w:r>
      <w:r>
        <w:rPr>
          <w:rFonts w:hint="eastAsia" w:ascii="仿宋" w:hAnsi="仿宋" w:eastAsia="仿宋" w:cs="仿宋"/>
          <w:color w:val="000000" w:themeColor="text1"/>
          <w:sz w:val="32"/>
          <w:szCs w:val="32"/>
          <w14:textFill>
            <w14:solidFill>
              <w14:schemeClr w14:val="tx1"/>
            </w14:solidFill>
          </w14:textFill>
        </w:rPr>
        <w:t>引进可穿戴设备、健康管理和自我健康管理智慧健康决策系统。鼓励发展网约护理、网约家庭医生、网约家庭药师等服务，为居民在线提供健康咨询、慢性病随防、延伸处方、健康管理等服务。运用</w:t>
      </w:r>
      <w:r>
        <w:rPr>
          <w:rFonts w:hint="eastAsia" w:ascii="仿宋" w:hAnsi="仿宋" w:eastAsia="仿宋" w:cs="仿宋"/>
          <w:color w:val="000000" w:themeColor="text1"/>
          <w:sz w:val="32"/>
          <w:szCs w:val="32"/>
          <w:lang w:val="en-US" w:eastAsia="zh-CN"/>
          <w14:textFill>
            <w14:solidFill>
              <w14:schemeClr w14:val="tx1"/>
            </w14:solidFill>
          </w14:textFill>
        </w:rPr>
        <w:t>互</w:t>
      </w:r>
      <w:r>
        <w:rPr>
          <w:rFonts w:hint="eastAsia" w:ascii="仿宋" w:hAnsi="仿宋" w:eastAsia="仿宋" w:cs="仿宋"/>
          <w:color w:val="000000" w:themeColor="text1"/>
          <w:sz w:val="32"/>
          <w:szCs w:val="32"/>
          <w14:textFill>
            <w14:solidFill>
              <w14:schemeClr w14:val="tx1"/>
            </w14:solidFill>
          </w14:textFill>
        </w:rPr>
        <w:t>联网技术，实现对居民健康的实时监测、疾病预警、慢病筛查、主动干预、个性化评估，支持居民医疗健康信息自主在线查询、居民健康自我管理。做好互联网+健康养老，完善康复型、治疗型、安宁疗护型健康养老服务包方案。推进基本公共卫生服务、家庭医生服务、家庭病床与养老服务的融合。推进社区老年人心理关爱、老年友好社区、智慧健康养老等试点工作。</w:t>
      </w:r>
    </w:p>
    <w:p>
      <w:pPr>
        <w:pStyle w:val="3"/>
        <w:keepNext w:val="0"/>
        <w:keepLines w:val="0"/>
        <w:pageBreakBefore w:val="0"/>
        <w:kinsoku/>
        <w:wordWrap/>
        <w:topLinePunct w:val="0"/>
        <w:autoSpaceDE/>
        <w:autoSpaceDN/>
        <w:bidi w:val="0"/>
        <w:spacing w:before="0" w:beforeAutospacing="0" w:after="0" w:afterAutospacing="0" w:line="560" w:lineRule="exact"/>
        <w:ind w:firstLine="640" w:firstLineChars="200"/>
        <w:jc w:val="both"/>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lang w:val="en-US" w:eastAsia="zh-CN"/>
          <w14:textFill>
            <w14:solidFill>
              <w14:schemeClr w14:val="tx1"/>
            </w14:solidFill>
          </w14:textFill>
        </w:rPr>
        <w:t>四、</w:t>
      </w:r>
      <w:r>
        <w:rPr>
          <w:rFonts w:hint="eastAsia" w:ascii="黑体" w:hAnsi="黑体" w:eastAsia="黑体" w:cs="黑体"/>
          <w:b w:val="0"/>
          <w:bCs/>
          <w:color w:val="000000" w:themeColor="text1"/>
          <w:sz w:val="32"/>
          <w:szCs w:val="32"/>
          <w14:textFill>
            <w14:solidFill>
              <w14:schemeClr w14:val="tx1"/>
            </w14:solidFill>
          </w14:textFill>
        </w:rPr>
        <w:t>保障措施</w:t>
      </w:r>
    </w:p>
    <w:p>
      <w:pPr>
        <w:pStyle w:val="5"/>
        <w:keepNext w:val="0"/>
        <w:keepLines w:val="0"/>
        <w:pageBreakBefore w:val="0"/>
        <w:kinsoku/>
        <w:wordWrap/>
        <w:topLinePunct w:val="0"/>
        <w:autoSpaceDE/>
        <w:autoSpaceDN/>
        <w:bidi w:val="0"/>
        <w:spacing w:beforeAutospacing="0" w:afterAutospacing="0" w:line="560" w:lineRule="exact"/>
        <w:jc w:val="both"/>
        <w:rPr>
          <w:rFonts w:hint="eastAsia" w:ascii="楷体" w:hAnsi="楷体" w:eastAsia="楷体" w:cs="楷体"/>
          <w:b w:val="0"/>
          <w:bCs w:val="0"/>
          <w:color w:val="000000" w:themeColor="text1"/>
          <w:kern w:val="2"/>
          <w:sz w:val="32"/>
          <w:szCs w:val="32"/>
          <w:highlight w:val="none"/>
          <w:lang w:val="en-US" w:eastAsia="zh-CN" w:bidi="ar-SA"/>
          <w14:textFill>
            <w14:solidFill>
              <w14:schemeClr w14:val="tx1"/>
            </w14:solidFill>
          </w14:textFill>
        </w:rPr>
      </w:pPr>
      <w:bookmarkStart w:id="1" w:name="_Toc23933"/>
      <w:bookmarkStart w:id="2" w:name="_Toc353184297"/>
      <w:r>
        <w:rPr>
          <w:rFonts w:hint="eastAsia" w:ascii="楷体" w:hAnsi="楷体" w:eastAsia="楷体" w:cs="楷体"/>
          <w:b w:val="0"/>
          <w:bCs w:val="0"/>
          <w:color w:val="000000" w:themeColor="text1"/>
          <w:kern w:val="2"/>
          <w:sz w:val="32"/>
          <w:szCs w:val="32"/>
          <w:highlight w:val="none"/>
          <w:lang w:val="en-US" w:eastAsia="zh-CN" w:bidi="ar-SA"/>
          <w14:textFill>
            <w14:solidFill>
              <w14:schemeClr w14:val="tx1"/>
            </w14:solidFill>
          </w14:textFill>
        </w:rPr>
        <w:t>（一）强化政府职能，深化卫生改革</w:t>
      </w:r>
      <w:bookmarkEnd w:id="1"/>
      <w:bookmarkEnd w:id="2"/>
    </w:p>
    <w:p>
      <w:pPr>
        <w:pStyle w:val="22"/>
        <w:keepNext w:val="0"/>
        <w:keepLines w:val="0"/>
        <w:pageBreakBefore w:val="0"/>
        <w:kinsoku/>
        <w:wordWrap/>
        <w:topLinePunct w:val="0"/>
        <w:autoSpaceDE/>
        <w:autoSpaceDN/>
        <w:bidi w:val="0"/>
        <w:spacing w:beforeAutospacing="0" w:afterAutospacing="0" w:line="56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切实把卫生健康事业发展“十四五”规划纳入社会经济发展规划，纳入目标管理责任制，切实加强组织领导，采取有效措施积极推进。在用人制度、分配制度、业务管理制度上下功夫，积极探索改革经验，不断完善，逐步推广。高度重视卫生健康事业发展“十四五”规划的宣传工作，要加强部门协调，动员全社会支持和参与卫生工作，为“十四五”规划的顺利实施营造良好宽松的环境。</w:t>
      </w:r>
    </w:p>
    <w:p>
      <w:pPr>
        <w:pStyle w:val="5"/>
        <w:keepNext w:val="0"/>
        <w:keepLines w:val="0"/>
        <w:pageBreakBefore w:val="0"/>
        <w:kinsoku/>
        <w:wordWrap/>
        <w:topLinePunct w:val="0"/>
        <w:autoSpaceDE/>
        <w:autoSpaceDN/>
        <w:bidi w:val="0"/>
        <w:spacing w:beforeAutospacing="0" w:afterAutospacing="0" w:line="560" w:lineRule="exact"/>
        <w:jc w:val="both"/>
        <w:rPr>
          <w:rFonts w:hint="eastAsia" w:ascii="楷体" w:hAnsi="楷体" w:eastAsia="楷体" w:cs="楷体"/>
          <w:b w:val="0"/>
          <w:bCs w:val="0"/>
          <w:color w:val="000000" w:themeColor="text1"/>
          <w:kern w:val="2"/>
          <w:sz w:val="32"/>
          <w:szCs w:val="32"/>
          <w:highlight w:val="none"/>
          <w:lang w:val="en-US" w:eastAsia="zh-CN" w:bidi="ar-SA"/>
          <w14:textFill>
            <w14:solidFill>
              <w14:schemeClr w14:val="tx1"/>
            </w14:solidFill>
          </w14:textFill>
        </w:rPr>
      </w:pPr>
      <w:bookmarkStart w:id="3" w:name="_Toc30043"/>
      <w:bookmarkStart w:id="4" w:name="_Toc353184298"/>
      <w:r>
        <w:rPr>
          <w:rFonts w:hint="eastAsia" w:ascii="楷体" w:hAnsi="楷体" w:eastAsia="楷体" w:cs="楷体"/>
          <w:b w:val="0"/>
          <w:bCs w:val="0"/>
          <w:color w:val="000000" w:themeColor="text1"/>
          <w:kern w:val="2"/>
          <w:sz w:val="32"/>
          <w:szCs w:val="32"/>
          <w:highlight w:val="none"/>
          <w:lang w:val="en-US" w:eastAsia="zh-CN" w:bidi="ar-SA"/>
          <w14:textFill>
            <w14:solidFill>
              <w14:schemeClr w14:val="tx1"/>
            </w14:solidFill>
          </w14:textFill>
        </w:rPr>
        <w:t>（二）加大政府投入，拓宽筹资渠道</w:t>
      </w:r>
      <w:bookmarkEnd w:id="3"/>
      <w:bookmarkEnd w:id="4"/>
    </w:p>
    <w:p>
      <w:pPr>
        <w:pStyle w:val="22"/>
        <w:keepNext w:val="0"/>
        <w:keepLines w:val="0"/>
        <w:pageBreakBefore w:val="0"/>
        <w:kinsoku/>
        <w:wordWrap/>
        <w:topLinePunct w:val="0"/>
        <w:autoSpaceDE/>
        <w:autoSpaceDN/>
        <w:bidi w:val="0"/>
        <w:spacing w:beforeAutospacing="0" w:afterAutospacing="0" w:line="560" w:lineRule="exact"/>
        <w:ind w:firstLine="640"/>
        <w:jc w:val="both"/>
        <w:rPr>
          <w:color w:val="000000" w:themeColor="text1"/>
          <w14:textFill>
            <w14:solidFill>
              <w14:schemeClr w14:val="tx1"/>
            </w14:solidFill>
          </w14:textFill>
        </w:rPr>
      </w:pPr>
      <w:bookmarkStart w:id="5" w:name="_Toc22795"/>
      <w:bookmarkStart w:id="6" w:name="_Toc5273"/>
      <w:bookmarkStart w:id="7" w:name="_Toc21571"/>
      <w:bookmarkStart w:id="8" w:name="_Toc15901"/>
      <w:r>
        <w:rPr>
          <w:rFonts w:hint="eastAsia"/>
          <w:color w:val="000000" w:themeColor="text1"/>
          <w14:textFill>
            <w14:solidFill>
              <w14:schemeClr w14:val="tx1"/>
            </w14:solidFill>
          </w14:textFill>
        </w:rPr>
        <w:t>建立和完善政府卫生投入机制，确保政府投入增长速度不低于财政支出的增长速度，确保政府卫生投入占财政支出的比重越来越大，并重点向公共卫生、</w:t>
      </w:r>
      <w:r>
        <w:rPr>
          <w:rFonts w:hint="eastAsia"/>
          <w:color w:val="000000" w:themeColor="text1"/>
          <w:lang w:val="en-US" w:eastAsia="zh-CN"/>
          <w14:textFill>
            <w14:solidFill>
              <w14:schemeClr w14:val="tx1"/>
            </w14:solidFill>
          </w14:textFill>
        </w:rPr>
        <w:t>基层</w:t>
      </w:r>
      <w:r>
        <w:rPr>
          <w:rFonts w:hint="eastAsia"/>
          <w:color w:val="000000" w:themeColor="text1"/>
          <w14:textFill>
            <w14:solidFill>
              <w14:schemeClr w14:val="tx1"/>
            </w14:solidFill>
          </w14:textFill>
        </w:rPr>
        <w:t>卫生等领域倾斜。完善政府主导的多元化卫生健康筹资机制，</w:t>
      </w:r>
      <w:r>
        <w:rPr>
          <w:color w:val="000000" w:themeColor="text1"/>
          <w14:textFill>
            <w14:solidFill>
              <w14:schemeClr w14:val="tx1"/>
            </w14:solidFill>
          </w14:textFill>
        </w:rPr>
        <w:t>强化政府对卫生健康基本公共服务的投入责任</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引导社会资金参与发展卫生健康事业。</w:t>
      </w:r>
    </w:p>
    <w:bookmarkEnd w:id="5"/>
    <w:bookmarkEnd w:id="6"/>
    <w:bookmarkEnd w:id="7"/>
    <w:bookmarkEnd w:id="8"/>
    <w:p>
      <w:pPr>
        <w:pStyle w:val="5"/>
        <w:keepNext w:val="0"/>
        <w:keepLines w:val="0"/>
        <w:pageBreakBefore w:val="0"/>
        <w:kinsoku/>
        <w:wordWrap/>
        <w:topLinePunct w:val="0"/>
        <w:autoSpaceDE/>
        <w:autoSpaceDN/>
        <w:bidi w:val="0"/>
        <w:spacing w:beforeAutospacing="0" w:afterAutospacing="0" w:line="560" w:lineRule="exact"/>
        <w:jc w:val="both"/>
        <w:rPr>
          <w:rFonts w:hint="eastAsia" w:ascii="楷体" w:hAnsi="楷体" w:eastAsia="楷体" w:cs="楷体"/>
          <w:b w:val="0"/>
          <w:bCs w:val="0"/>
          <w:color w:val="000000" w:themeColor="text1"/>
          <w:kern w:val="2"/>
          <w:sz w:val="32"/>
          <w:szCs w:val="32"/>
          <w:highlight w:val="none"/>
          <w:lang w:val="en-US" w:eastAsia="zh-CN" w:bidi="ar-SA"/>
          <w14:textFill>
            <w14:solidFill>
              <w14:schemeClr w14:val="tx1"/>
            </w14:solidFill>
          </w14:textFill>
        </w:rPr>
      </w:pPr>
      <w:bookmarkStart w:id="9" w:name="_Toc353184299"/>
      <w:bookmarkStart w:id="10" w:name="_Toc28528"/>
      <w:r>
        <w:rPr>
          <w:rFonts w:hint="eastAsia" w:ascii="楷体" w:hAnsi="楷体" w:eastAsia="楷体" w:cs="楷体"/>
          <w:b w:val="0"/>
          <w:bCs w:val="0"/>
          <w:color w:val="000000" w:themeColor="text1"/>
          <w:kern w:val="2"/>
          <w:sz w:val="32"/>
          <w:szCs w:val="32"/>
          <w:highlight w:val="none"/>
          <w:lang w:val="en-US" w:eastAsia="zh-CN" w:bidi="ar-SA"/>
          <w14:textFill>
            <w14:solidFill>
              <w14:schemeClr w14:val="tx1"/>
            </w14:solidFill>
          </w14:textFill>
        </w:rPr>
        <w:t>（三）强化部门协调，形成推进合力</w:t>
      </w:r>
    </w:p>
    <w:p>
      <w:pPr>
        <w:pStyle w:val="22"/>
        <w:keepNext w:val="0"/>
        <w:keepLines w:val="0"/>
        <w:pageBreakBefore w:val="0"/>
        <w:kinsoku/>
        <w:wordWrap/>
        <w:topLinePunct w:val="0"/>
        <w:autoSpaceDE/>
        <w:autoSpaceDN/>
        <w:bidi w:val="0"/>
        <w:spacing w:beforeAutospacing="0" w:afterAutospacing="0" w:line="56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政府各部门积极配合卫生健康部门落实规划实施的相关保障。财政部门加强经费保障和监督，不断完善各项保障政策。人力资源部门指导卫生健康部门做好人才引进和招聘工作。规划、</w:t>
      </w:r>
      <w:r>
        <w:rPr>
          <w:rFonts w:hint="eastAsia"/>
          <w:color w:val="000000" w:themeColor="text1"/>
          <w:lang w:val="en-US" w:eastAsia="zh-CN"/>
          <w14:textFill>
            <w14:solidFill>
              <w14:schemeClr w14:val="tx1"/>
            </w14:solidFill>
          </w14:textFill>
        </w:rPr>
        <w:t>建设</w:t>
      </w:r>
      <w:r>
        <w:rPr>
          <w:rFonts w:hint="eastAsia"/>
          <w:color w:val="000000" w:themeColor="text1"/>
          <w14:textFill>
            <w14:solidFill>
              <w14:schemeClr w14:val="tx1"/>
            </w14:solidFill>
          </w14:textFill>
        </w:rPr>
        <w:t>等部门积极支持卫生健康部门做好重点项目建设。民政部门与卫生健康部门共同推进医养结合工作。医保部门在医疗、医药、医保等方面与卫生健康部门加强制度、政策衔接，建立沟通协商机制，提高医疗资源使用效率和医疗保障水平。其他部门根据各自职能协助卫生健康部门实施规划。</w:t>
      </w:r>
    </w:p>
    <w:p>
      <w:pPr>
        <w:pStyle w:val="5"/>
        <w:keepNext w:val="0"/>
        <w:keepLines w:val="0"/>
        <w:pageBreakBefore w:val="0"/>
        <w:kinsoku/>
        <w:wordWrap/>
        <w:topLinePunct w:val="0"/>
        <w:autoSpaceDE/>
        <w:autoSpaceDN/>
        <w:bidi w:val="0"/>
        <w:spacing w:beforeAutospacing="0" w:afterAutospacing="0" w:line="560" w:lineRule="exact"/>
        <w:jc w:val="both"/>
        <w:rPr>
          <w:rFonts w:hint="eastAsia" w:ascii="楷体" w:hAnsi="楷体" w:eastAsia="楷体" w:cs="楷体"/>
          <w:b w:val="0"/>
          <w:bCs w:val="0"/>
          <w:color w:val="000000" w:themeColor="text1"/>
          <w:kern w:val="2"/>
          <w:sz w:val="32"/>
          <w:szCs w:val="32"/>
          <w:highlight w:val="none"/>
          <w:lang w:val="en-US" w:eastAsia="zh-CN" w:bidi="ar-SA"/>
          <w14:textFill>
            <w14:solidFill>
              <w14:schemeClr w14:val="tx1"/>
            </w14:solidFill>
          </w14:textFill>
        </w:rPr>
      </w:pPr>
      <w:r>
        <w:rPr>
          <w:rFonts w:hint="eastAsia" w:ascii="楷体" w:hAnsi="楷体" w:eastAsia="楷体" w:cs="楷体"/>
          <w:b w:val="0"/>
          <w:bCs w:val="0"/>
          <w:color w:val="000000" w:themeColor="text1"/>
          <w:kern w:val="2"/>
          <w:sz w:val="32"/>
          <w:szCs w:val="32"/>
          <w:highlight w:val="none"/>
          <w:lang w:val="en-US" w:eastAsia="zh-CN" w:bidi="ar-SA"/>
          <w14:textFill>
            <w14:solidFill>
              <w14:schemeClr w14:val="tx1"/>
            </w14:solidFill>
          </w14:textFill>
        </w:rPr>
        <w:t>（四）完善监管体制，强化卫生管理</w:t>
      </w:r>
      <w:bookmarkEnd w:id="9"/>
      <w:bookmarkEnd w:id="10"/>
    </w:p>
    <w:p>
      <w:pPr>
        <w:pStyle w:val="22"/>
        <w:keepNext w:val="0"/>
        <w:keepLines w:val="0"/>
        <w:pageBreakBefore w:val="0"/>
        <w:kinsoku/>
        <w:wordWrap/>
        <w:topLinePunct w:val="0"/>
        <w:autoSpaceDE/>
        <w:autoSpaceDN/>
        <w:bidi w:val="0"/>
        <w:spacing w:beforeAutospacing="0" w:afterAutospacing="0" w:line="560" w:lineRule="exact"/>
        <w:ind w:firstLine="640"/>
        <w:jc w:val="both"/>
        <w:rPr>
          <w:color w:val="000000" w:themeColor="text1"/>
          <w14:textFill>
            <w14:solidFill>
              <w14:schemeClr w14:val="tx1"/>
            </w14:solidFill>
          </w14:textFill>
        </w:rPr>
      </w:pPr>
      <w:bookmarkStart w:id="11" w:name="_Toc655"/>
      <w:bookmarkStart w:id="12" w:name="_Toc27473"/>
      <w:bookmarkStart w:id="13" w:name="_Toc19730"/>
      <w:bookmarkStart w:id="14" w:name="_Toc26397"/>
      <w:r>
        <w:rPr>
          <w:rFonts w:hint="eastAsia"/>
          <w:color w:val="000000" w:themeColor="text1"/>
          <w14:textFill>
            <w14:solidFill>
              <w14:schemeClr w14:val="tx1"/>
            </w14:solidFill>
          </w14:textFill>
        </w:rPr>
        <w:t>切实加强对卫生健康系统安全生产及综合治理工作的组织领导。强化对医疗卫生服务行为和质量的监管，完善医疗卫生服务标准和质量评价体系，健全医疗卫生服务质量监测网络。建立信息公开、社会多方参与的监管制度。鼓励行业协会等社会组织和个人对政府部门、医药卫生机构和相关体系的运行绩效进行独立评价和监督。</w:t>
      </w:r>
      <w:bookmarkEnd w:id="11"/>
      <w:bookmarkEnd w:id="12"/>
      <w:bookmarkEnd w:id="13"/>
      <w:bookmarkEnd w:id="14"/>
    </w:p>
    <w:p>
      <w:pPr>
        <w:pStyle w:val="5"/>
        <w:keepNext w:val="0"/>
        <w:keepLines w:val="0"/>
        <w:pageBreakBefore w:val="0"/>
        <w:kinsoku/>
        <w:wordWrap/>
        <w:topLinePunct w:val="0"/>
        <w:autoSpaceDE/>
        <w:autoSpaceDN/>
        <w:bidi w:val="0"/>
        <w:spacing w:beforeAutospacing="0" w:afterAutospacing="0" w:line="560" w:lineRule="exact"/>
        <w:jc w:val="both"/>
        <w:rPr>
          <w:rFonts w:hint="eastAsia" w:ascii="楷体" w:hAnsi="楷体" w:eastAsia="楷体" w:cs="楷体"/>
          <w:b w:val="0"/>
          <w:bCs w:val="0"/>
          <w:color w:val="000000" w:themeColor="text1"/>
          <w:kern w:val="2"/>
          <w:sz w:val="32"/>
          <w:szCs w:val="32"/>
          <w:highlight w:val="none"/>
          <w:lang w:val="en-US" w:eastAsia="zh-CN" w:bidi="ar-SA"/>
          <w14:textFill>
            <w14:solidFill>
              <w14:schemeClr w14:val="tx1"/>
            </w14:solidFill>
          </w14:textFill>
        </w:rPr>
      </w:pPr>
      <w:bookmarkStart w:id="15" w:name="_Toc32406"/>
      <w:bookmarkStart w:id="16" w:name="_Toc353184300"/>
      <w:r>
        <w:rPr>
          <w:rFonts w:hint="eastAsia" w:ascii="楷体" w:hAnsi="楷体" w:eastAsia="楷体" w:cs="楷体"/>
          <w:b w:val="0"/>
          <w:bCs w:val="0"/>
          <w:color w:val="000000" w:themeColor="text1"/>
          <w:kern w:val="2"/>
          <w:sz w:val="32"/>
          <w:szCs w:val="32"/>
          <w:highlight w:val="none"/>
          <w:lang w:val="en-US" w:eastAsia="zh-CN" w:bidi="ar-SA"/>
          <w14:textFill>
            <w14:solidFill>
              <w14:schemeClr w14:val="tx1"/>
            </w14:solidFill>
          </w14:textFill>
        </w:rPr>
        <w:t>（五）突出工作重点，稳步有序推进</w:t>
      </w:r>
      <w:bookmarkEnd w:id="15"/>
      <w:bookmarkEnd w:id="16"/>
    </w:p>
    <w:p>
      <w:pPr>
        <w:pStyle w:val="22"/>
        <w:keepNext w:val="0"/>
        <w:keepLines w:val="0"/>
        <w:pageBreakBefore w:val="0"/>
        <w:kinsoku/>
        <w:wordWrap/>
        <w:topLinePunct w:val="0"/>
        <w:autoSpaceDE/>
        <w:autoSpaceDN/>
        <w:bidi w:val="0"/>
        <w:spacing w:beforeAutospacing="0" w:afterAutospacing="0" w:line="560" w:lineRule="exact"/>
        <w:ind w:firstLine="640"/>
        <w:jc w:val="both"/>
        <w:rPr>
          <w:color w:val="000000" w:themeColor="text1"/>
          <w14:textFill>
            <w14:solidFill>
              <w14:schemeClr w14:val="tx1"/>
            </w14:solidFill>
          </w14:textFill>
        </w:rPr>
      </w:pPr>
      <w:bookmarkStart w:id="17" w:name="_Toc28779"/>
      <w:bookmarkStart w:id="18" w:name="_Toc6012"/>
      <w:bookmarkStart w:id="19" w:name="_Toc17026"/>
      <w:bookmarkStart w:id="20" w:name="_Toc3553"/>
      <w:r>
        <w:rPr>
          <w:rFonts w:hint="eastAsia"/>
          <w:color w:val="000000" w:themeColor="text1"/>
          <w14:textFill>
            <w14:solidFill>
              <w14:schemeClr w14:val="tx1"/>
            </w14:solidFill>
          </w14:textFill>
        </w:rPr>
        <w:t>突出全局性的卫生重点领域和关键环节的工作。切实把卫生工作重点放在医疗卫生服务领域，加强各医疗卫生机构的软、硬件建设，严格人员准入机制。加强预防保健和健康教育工作，切实加强</w:t>
      </w:r>
      <w:r>
        <w:rPr>
          <w:rFonts w:hint="eastAsia"/>
          <w:color w:val="000000" w:themeColor="text1"/>
          <w:lang w:val="en-US" w:eastAsia="zh-CN"/>
          <w14:textFill>
            <w14:solidFill>
              <w14:schemeClr w14:val="tx1"/>
            </w14:solidFill>
          </w14:textFill>
        </w:rPr>
        <w:t>基层医疗机构</w:t>
      </w:r>
      <w:r>
        <w:rPr>
          <w:rFonts w:hint="eastAsia"/>
          <w:color w:val="000000" w:themeColor="text1"/>
          <w14:textFill>
            <w14:solidFill>
              <w14:schemeClr w14:val="tx1"/>
            </w14:solidFill>
          </w14:textFill>
        </w:rPr>
        <w:t>、疾病控制、妇幼保健机构的配套设施建设，改善业务工作条件，扩大服务项目，充分发挥中心指导作用。</w:t>
      </w:r>
      <w:bookmarkEnd w:id="17"/>
      <w:bookmarkEnd w:id="18"/>
      <w:bookmarkEnd w:id="19"/>
      <w:bookmarkEnd w:id="20"/>
    </w:p>
    <w:p>
      <w:pPr>
        <w:pStyle w:val="5"/>
        <w:keepNext w:val="0"/>
        <w:keepLines w:val="0"/>
        <w:pageBreakBefore w:val="0"/>
        <w:kinsoku/>
        <w:wordWrap/>
        <w:topLinePunct w:val="0"/>
        <w:autoSpaceDE/>
        <w:autoSpaceDN/>
        <w:bidi w:val="0"/>
        <w:spacing w:beforeAutospacing="0" w:afterAutospacing="0" w:line="560" w:lineRule="exact"/>
        <w:jc w:val="both"/>
        <w:rPr>
          <w:rFonts w:hint="eastAsia" w:ascii="楷体" w:hAnsi="楷体" w:eastAsia="楷体" w:cs="楷体"/>
          <w:b w:val="0"/>
          <w:bCs w:val="0"/>
          <w:color w:val="000000" w:themeColor="text1"/>
          <w:kern w:val="2"/>
          <w:sz w:val="32"/>
          <w:szCs w:val="32"/>
          <w:highlight w:val="none"/>
          <w:lang w:val="en-US" w:eastAsia="zh-CN" w:bidi="ar-SA"/>
          <w14:textFill>
            <w14:solidFill>
              <w14:schemeClr w14:val="tx1"/>
            </w14:solidFill>
          </w14:textFill>
        </w:rPr>
      </w:pPr>
      <w:bookmarkStart w:id="21" w:name="_Toc20897"/>
      <w:bookmarkStart w:id="22" w:name="_Toc353184301"/>
      <w:r>
        <w:rPr>
          <w:rFonts w:hint="eastAsia" w:ascii="楷体" w:hAnsi="楷体" w:eastAsia="楷体" w:cs="楷体"/>
          <w:b w:val="0"/>
          <w:bCs w:val="0"/>
          <w:color w:val="000000" w:themeColor="text1"/>
          <w:kern w:val="2"/>
          <w:sz w:val="32"/>
          <w:szCs w:val="32"/>
          <w:highlight w:val="none"/>
          <w:lang w:val="en-US" w:eastAsia="zh-CN" w:bidi="ar-SA"/>
          <w14:textFill>
            <w14:solidFill>
              <w14:schemeClr w14:val="tx1"/>
            </w14:solidFill>
          </w14:textFill>
        </w:rPr>
        <w:t>（六）提高人才素质，保障梯队建设</w:t>
      </w:r>
      <w:bookmarkEnd w:id="21"/>
      <w:bookmarkEnd w:id="22"/>
    </w:p>
    <w:p>
      <w:pPr>
        <w:pStyle w:val="22"/>
        <w:keepNext w:val="0"/>
        <w:keepLines w:val="0"/>
        <w:pageBreakBefore w:val="0"/>
        <w:kinsoku/>
        <w:wordWrap/>
        <w:topLinePunct w:val="0"/>
        <w:autoSpaceDE/>
        <w:autoSpaceDN/>
        <w:bidi w:val="0"/>
        <w:spacing w:beforeAutospacing="0" w:afterAutospacing="0" w:line="560" w:lineRule="exact"/>
        <w:ind w:firstLine="640"/>
        <w:jc w:val="both"/>
        <w:rPr>
          <w:color w:val="000000" w:themeColor="text1"/>
          <w14:textFill>
            <w14:solidFill>
              <w14:schemeClr w14:val="tx1"/>
            </w14:solidFill>
          </w14:textFill>
        </w:rPr>
      </w:pPr>
      <w:bookmarkStart w:id="23" w:name="_Toc19619"/>
      <w:bookmarkStart w:id="24" w:name="_Toc7270"/>
      <w:bookmarkStart w:id="25" w:name="_Toc4366"/>
      <w:bookmarkStart w:id="26" w:name="_Toc17122"/>
      <w:r>
        <w:rPr>
          <w:rFonts w:hint="eastAsia"/>
          <w:color w:val="000000" w:themeColor="text1"/>
          <w14:textFill>
            <w14:solidFill>
              <w14:schemeClr w14:val="tx1"/>
            </w14:solidFill>
          </w14:textFill>
        </w:rPr>
        <w:t>实施素质工程，营造有利于业务创新的外界环境。围绕卫生健康事业发展，创新人才工作机制，完善卫生健康</w:t>
      </w:r>
      <w:r>
        <w:rPr>
          <w:rFonts w:hint="eastAsia"/>
          <w:color w:val="000000" w:themeColor="text1"/>
          <w:lang w:val="en-US" w:eastAsia="zh-CN"/>
          <w14:textFill>
            <w14:solidFill>
              <w14:schemeClr w14:val="tx1"/>
            </w14:solidFill>
          </w14:textFill>
        </w:rPr>
        <w:t>精</w:t>
      </w:r>
      <w:r>
        <w:rPr>
          <w:rFonts w:hint="eastAsia"/>
          <w:color w:val="000000" w:themeColor="text1"/>
          <w14:textFill>
            <w14:solidFill>
              <w14:schemeClr w14:val="tx1"/>
            </w14:solidFill>
          </w14:textFill>
        </w:rPr>
        <w:t>英人才队伍建设实施办法，加大稳定、吸引、培养、使用人才的工作力度，改善人才成长环境，加强人事制度改革和构建人才激励机制，促进各类卫生健康人才的发展，建设一支高素质的卫生健康人才队伍。</w:t>
      </w:r>
      <w:bookmarkEnd w:id="23"/>
      <w:bookmarkEnd w:id="24"/>
      <w:bookmarkEnd w:id="25"/>
      <w:bookmarkEnd w:id="26"/>
    </w:p>
    <w:p>
      <w:pPr>
        <w:pStyle w:val="5"/>
        <w:keepNext w:val="0"/>
        <w:keepLines w:val="0"/>
        <w:pageBreakBefore w:val="0"/>
        <w:kinsoku/>
        <w:wordWrap/>
        <w:topLinePunct w:val="0"/>
        <w:autoSpaceDE/>
        <w:autoSpaceDN/>
        <w:bidi w:val="0"/>
        <w:spacing w:beforeAutospacing="0" w:afterAutospacing="0" w:line="560" w:lineRule="exact"/>
        <w:jc w:val="both"/>
        <w:rPr>
          <w:rFonts w:hint="eastAsia" w:ascii="楷体" w:hAnsi="楷体" w:eastAsia="楷体" w:cs="楷体"/>
          <w:b w:val="0"/>
          <w:bCs w:val="0"/>
          <w:color w:val="000000" w:themeColor="text1"/>
          <w:kern w:val="2"/>
          <w:sz w:val="32"/>
          <w:szCs w:val="32"/>
          <w:highlight w:val="none"/>
          <w:lang w:val="en-US" w:eastAsia="zh-CN" w:bidi="ar-SA"/>
          <w14:textFill>
            <w14:solidFill>
              <w14:schemeClr w14:val="tx1"/>
            </w14:solidFill>
          </w14:textFill>
        </w:rPr>
      </w:pPr>
      <w:bookmarkStart w:id="27" w:name="_Toc353184302"/>
      <w:bookmarkStart w:id="28" w:name="_Toc11515"/>
      <w:r>
        <w:rPr>
          <w:rFonts w:hint="eastAsia" w:ascii="楷体" w:hAnsi="楷体" w:eastAsia="楷体" w:cs="楷体"/>
          <w:b w:val="0"/>
          <w:bCs w:val="0"/>
          <w:color w:val="000000" w:themeColor="text1"/>
          <w:kern w:val="2"/>
          <w:sz w:val="32"/>
          <w:szCs w:val="32"/>
          <w:highlight w:val="none"/>
          <w:lang w:val="en-US" w:eastAsia="zh-CN" w:bidi="ar-SA"/>
          <w14:textFill>
            <w14:solidFill>
              <w14:schemeClr w14:val="tx1"/>
            </w14:solidFill>
          </w14:textFill>
        </w:rPr>
        <w:t>（七）优化法制环境，营造良好氛围</w:t>
      </w:r>
      <w:bookmarkEnd w:id="27"/>
      <w:bookmarkEnd w:id="28"/>
    </w:p>
    <w:p>
      <w:pPr>
        <w:pStyle w:val="22"/>
        <w:keepNext w:val="0"/>
        <w:keepLines w:val="0"/>
        <w:pageBreakBefore w:val="0"/>
        <w:kinsoku/>
        <w:wordWrap/>
        <w:topLinePunct w:val="0"/>
        <w:autoSpaceDE/>
        <w:autoSpaceDN/>
        <w:bidi w:val="0"/>
        <w:spacing w:beforeAutospacing="0" w:afterAutospacing="0" w:line="560" w:lineRule="exact"/>
        <w:ind w:firstLine="640"/>
        <w:jc w:val="both"/>
        <w:rPr>
          <w:color w:val="000000" w:themeColor="text1"/>
          <w14:textFill>
            <w14:solidFill>
              <w14:schemeClr w14:val="tx1"/>
            </w14:solidFill>
          </w14:textFill>
        </w:rPr>
      </w:pPr>
      <w:bookmarkStart w:id="29" w:name="_Toc24766"/>
      <w:bookmarkStart w:id="30" w:name="_Toc17487"/>
      <w:bookmarkStart w:id="31" w:name="_Toc23514"/>
      <w:bookmarkStart w:id="32" w:name="_Toc20911"/>
      <w:r>
        <w:rPr>
          <w:rFonts w:hint="eastAsia"/>
          <w:color w:val="000000" w:themeColor="text1"/>
          <w14:textFill>
            <w14:solidFill>
              <w14:schemeClr w14:val="tx1"/>
            </w14:solidFill>
          </w14:textFill>
        </w:rPr>
        <w:t>建立和完善卫生健康法律法规，推动依法行政、依法行医，加快依法办事进程，构建有利于卫生健康事业发展的法制环境。必须加强对重大卫生健康政策、重大战略部署、重大突发事件的宣传，正确引导社会舆论，树立卫生健康行业良好形象，营造卫生工作的良好氛围。</w:t>
      </w:r>
      <w:bookmarkEnd w:id="29"/>
      <w:bookmarkEnd w:id="30"/>
      <w:bookmarkEnd w:id="31"/>
      <w:bookmarkEnd w:id="32"/>
    </w:p>
    <w:p>
      <w:pPr>
        <w:pStyle w:val="5"/>
        <w:keepNext w:val="0"/>
        <w:keepLines w:val="0"/>
        <w:pageBreakBefore w:val="0"/>
        <w:kinsoku/>
        <w:wordWrap/>
        <w:topLinePunct w:val="0"/>
        <w:autoSpaceDE/>
        <w:autoSpaceDN/>
        <w:bidi w:val="0"/>
        <w:spacing w:beforeAutospacing="0" w:afterAutospacing="0" w:line="560" w:lineRule="exact"/>
        <w:jc w:val="both"/>
        <w:rPr>
          <w:rFonts w:hint="eastAsia" w:ascii="楷体" w:hAnsi="楷体" w:eastAsia="楷体" w:cs="楷体"/>
          <w:b w:val="0"/>
          <w:bCs w:val="0"/>
          <w:color w:val="000000" w:themeColor="text1"/>
          <w:kern w:val="2"/>
          <w:sz w:val="32"/>
          <w:szCs w:val="32"/>
          <w:highlight w:val="none"/>
          <w:lang w:val="en-US" w:eastAsia="zh-CN" w:bidi="ar-SA"/>
          <w14:textFill>
            <w14:solidFill>
              <w14:schemeClr w14:val="tx1"/>
            </w14:solidFill>
          </w14:textFill>
        </w:rPr>
      </w:pPr>
      <w:bookmarkStart w:id="33" w:name="_Toc23470"/>
      <w:bookmarkStart w:id="34" w:name="_Toc353184303"/>
      <w:r>
        <w:rPr>
          <w:rFonts w:hint="eastAsia" w:ascii="楷体" w:hAnsi="楷体" w:eastAsia="楷体" w:cs="楷体"/>
          <w:b w:val="0"/>
          <w:bCs w:val="0"/>
          <w:color w:val="000000" w:themeColor="text1"/>
          <w:kern w:val="2"/>
          <w:sz w:val="32"/>
          <w:szCs w:val="32"/>
          <w:highlight w:val="none"/>
          <w:lang w:val="en-US" w:eastAsia="zh-CN" w:bidi="ar-SA"/>
          <w14:textFill>
            <w14:solidFill>
              <w14:schemeClr w14:val="tx1"/>
            </w14:solidFill>
          </w14:textFill>
        </w:rPr>
        <w:t>（八）注重行风建设，创建和谐服务</w:t>
      </w:r>
      <w:bookmarkEnd w:id="33"/>
      <w:bookmarkEnd w:id="34"/>
    </w:p>
    <w:p>
      <w:pPr>
        <w:pStyle w:val="22"/>
        <w:keepNext w:val="0"/>
        <w:keepLines w:val="0"/>
        <w:pageBreakBefore w:val="0"/>
        <w:kinsoku/>
        <w:wordWrap/>
        <w:topLinePunct w:val="0"/>
        <w:autoSpaceDE/>
        <w:autoSpaceDN/>
        <w:bidi w:val="0"/>
        <w:spacing w:beforeAutospacing="0" w:afterAutospacing="0" w:line="560" w:lineRule="exact"/>
        <w:ind w:firstLine="640"/>
        <w:jc w:val="both"/>
        <w:rPr>
          <w:color w:val="000000" w:themeColor="text1"/>
          <w14:textFill>
            <w14:solidFill>
              <w14:schemeClr w14:val="tx1"/>
            </w14:solidFill>
          </w14:textFill>
        </w:rPr>
      </w:pPr>
      <w:bookmarkStart w:id="35" w:name="_Toc29205"/>
      <w:bookmarkStart w:id="36" w:name="_Toc27859"/>
      <w:bookmarkStart w:id="37" w:name="_Toc9186"/>
      <w:bookmarkStart w:id="38" w:name="_Toc29452"/>
      <w:r>
        <w:rPr>
          <w:rFonts w:hint="eastAsia"/>
          <w:color w:val="000000" w:themeColor="text1"/>
          <w14:textFill>
            <w14:solidFill>
              <w14:schemeClr w14:val="tx1"/>
            </w14:solidFill>
          </w14:textFill>
        </w:rPr>
        <w:t>深入开展医德医风和卫生健康文化建设，促进医务工作者依法从医、廉洁从医，规范医疗卫生机构信息公开等制度，维护良好的服务秩序。同时，各机构要转变工作理念，切实增强为人民群众健康服务的宗旨意识，改善服务态度，提高服务能力，提升服务质量，努力塑造卫生健康行业新形象。</w:t>
      </w:r>
      <w:bookmarkEnd w:id="35"/>
      <w:bookmarkEnd w:id="36"/>
      <w:bookmarkEnd w:id="37"/>
      <w:bookmarkEnd w:id="3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UwYWU5ODk4NjU2YmM0YTE2MjUzOTRkMjFiNzE1Y2IifQ=="/>
  </w:docVars>
  <w:rsids>
    <w:rsidRoot w:val="001101F1"/>
    <w:rsid w:val="00001B08"/>
    <w:rsid w:val="000176BC"/>
    <w:rsid w:val="00030816"/>
    <w:rsid w:val="000308C0"/>
    <w:rsid w:val="000637EF"/>
    <w:rsid w:val="000804A2"/>
    <w:rsid w:val="000B0BE9"/>
    <w:rsid w:val="000B36DF"/>
    <w:rsid w:val="000B618E"/>
    <w:rsid w:val="000C7737"/>
    <w:rsid w:val="000E7BFE"/>
    <w:rsid w:val="000F0641"/>
    <w:rsid w:val="000F5272"/>
    <w:rsid w:val="0010713D"/>
    <w:rsid w:val="001101F1"/>
    <w:rsid w:val="0011272F"/>
    <w:rsid w:val="00134A88"/>
    <w:rsid w:val="0016284F"/>
    <w:rsid w:val="00177F95"/>
    <w:rsid w:val="00181317"/>
    <w:rsid w:val="00186D2A"/>
    <w:rsid w:val="00191B4B"/>
    <w:rsid w:val="00195DD3"/>
    <w:rsid w:val="001A4124"/>
    <w:rsid w:val="001B01BD"/>
    <w:rsid w:val="001B4DAB"/>
    <w:rsid w:val="001D3281"/>
    <w:rsid w:val="001D381A"/>
    <w:rsid w:val="001E560F"/>
    <w:rsid w:val="001E7B28"/>
    <w:rsid w:val="001E7DF7"/>
    <w:rsid w:val="0021293D"/>
    <w:rsid w:val="00220E9F"/>
    <w:rsid w:val="00221249"/>
    <w:rsid w:val="002278A7"/>
    <w:rsid w:val="00231392"/>
    <w:rsid w:val="00235758"/>
    <w:rsid w:val="00236E8A"/>
    <w:rsid w:val="0024450A"/>
    <w:rsid w:val="00247139"/>
    <w:rsid w:val="0025055B"/>
    <w:rsid w:val="00251A8B"/>
    <w:rsid w:val="002575F7"/>
    <w:rsid w:val="002604CD"/>
    <w:rsid w:val="00276601"/>
    <w:rsid w:val="002768BD"/>
    <w:rsid w:val="00285BBF"/>
    <w:rsid w:val="00287A60"/>
    <w:rsid w:val="002B0D93"/>
    <w:rsid w:val="002C02C3"/>
    <w:rsid w:val="002C6C00"/>
    <w:rsid w:val="002D3853"/>
    <w:rsid w:val="002E7541"/>
    <w:rsid w:val="002E7903"/>
    <w:rsid w:val="003067CF"/>
    <w:rsid w:val="00324909"/>
    <w:rsid w:val="00335882"/>
    <w:rsid w:val="0037652A"/>
    <w:rsid w:val="00393F74"/>
    <w:rsid w:val="003A21E1"/>
    <w:rsid w:val="003B0DF3"/>
    <w:rsid w:val="003D065D"/>
    <w:rsid w:val="003D0B27"/>
    <w:rsid w:val="003D0CA6"/>
    <w:rsid w:val="003D3B29"/>
    <w:rsid w:val="003D4E06"/>
    <w:rsid w:val="004031DF"/>
    <w:rsid w:val="00406D3B"/>
    <w:rsid w:val="0043403B"/>
    <w:rsid w:val="00443D28"/>
    <w:rsid w:val="004442D3"/>
    <w:rsid w:val="00447F2D"/>
    <w:rsid w:val="00455772"/>
    <w:rsid w:val="004564D1"/>
    <w:rsid w:val="00465EE6"/>
    <w:rsid w:val="00465F7E"/>
    <w:rsid w:val="00470F96"/>
    <w:rsid w:val="004727F9"/>
    <w:rsid w:val="00477C82"/>
    <w:rsid w:val="00483EE5"/>
    <w:rsid w:val="004929E7"/>
    <w:rsid w:val="004964E3"/>
    <w:rsid w:val="004A2F65"/>
    <w:rsid w:val="004C185E"/>
    <w:rsid w:val="004C59FD"/>
    <w:rsid w:val="004C7932"/>
    <w:rsid w:val="004C7B5D"/>
    <w:rsid w:val="004F680B"/>
    <w:rsid w:val="00500241"/>
    <w:rsid w:val="005016F4"/>
    <w:rsid w:val="00501AF5"/>
    <w:rsid w:val="00501B02"/>
    <w:rsid w:val="00503023"/>
    <w:rsid w:val="00504A2B"/>
    <w:rsid w:val="00520429"/>
    <w:rsid w:val="005263D8"/>
    <w:rsid w:val="005536F7"/>
    <w:rsid w:val="005808C0"/>
    <w:rsid w:val="0059575F"/>
    <w:rsid w:val="005A1E87"/>
    <w:rsid w:val="005B2367"/>
    <w:rsid w:val="005B3C50"/>
    <w:rsid w:val="005C1C8E"/>
    <w:rsid w:val="005D7FF8"/>
    <w:rsid w:val="005E1DC4"/>
    <w:rsid w:val="005E40FD"/>
    <w:rsid w:val="005E6824"/>
    <w:rsid w:val="005F6D14"/>
    <w:rsid w:val="00600169"/>
    <w:rsid w:val="00610FB9"/>
    <w:rsid w:val="00616C72"/>
    <w:rsid w:val="0063091B"/>
    <w:rsid w:val="006348AD"/>
    <w:rsid w:val="00635CB0"/>
    <w:rsid w:val="00640362"/>
    <w:rsid w:val="006409CB"/>
    <w:rsid w:val="0064107F"/>
    <w:rsid w:val="00667CD7"/>
    <w:rsid w:val="0067131B"/>
    <w:rsid w:val="00680FDD"/>
    <w:rsid w:val="00691FCF"/>
    <w:rsid w:val="006B1CB6"/>
    <w:rsid w:val="006B2C30"/>
    <w:rsid w:val="006C3807"/>
    <w:rsid w:val="006E086D"/>
    <w:rsid w:val="006E2652"/>
    <w:rsid w:val="006F2BAB"/>
    <w:rsid w:val="00714B6B"/>
    <w:rsid w:val="007219F3"/>
    <w:rsid w:val="00743CF6"/>
    <w:rsid w:val="0074691C"/>
    <w:rsid w:val="007655C5"/>
    <w:rsid w:val="00780E3E"/>
    <w:rsid w:val="007845FB"/>
    <w:rsid w:val="007A2F88"/>
    <w:rsid w:val="007A5D2E"/>
    <w:rsid w:val="007A788F"/>
    <w:rsid w:val="007B1DB3"/>
    <w:rsid w:val="007C1615"/>
    <w:rsid w:val="007C5D9E"/>
    <w:rsid w:val="007D11E9"/>
    <w:rsid w:val="007D2643"/>
    <w:rsid w:val="007D30B4"/>
    <w:rsid w:val="007E29E1"/>
    <w:rsid w:val="007E5009"/>
    <w:rsid w:val="00802CC5"/>
    <w:rsid w:val="008154C5"/>
    <w:rsid w:val="008316C1"/>
    <w:rsid w:val="0083249E"/>
    <w:rsid w:val="0084302D"/>
    <w:rsid w:val="008610C2"/>
    <w:rsid w:val="008679C7"/>
    <w:rsid w:val="0087681D"/>
    <w:rsid w:val="008A1EB8"/>
    <w:rsid w:val="008A59ED"/>
    <w:rsid w:val="008B3FF0"/>
    <w:rsid w:val="008B7E93"/>
    <w:rsid w:val="008C28C2"/>
    <w:rsid w:val="008C3EF0"/>
    <w:rsid w:val="008C4798"/>
    <w:rsid w:val="008D038E"/>
    <w:rsid w:val="008D3352"/>
    <w:rsid w:val="008E09BD"/>
    <w:rsid w:val="008E433C"/>
    <w:rsid w:val="00903202"/>
    <w:rsid w:val="0090320E"/>
    <w:rsid w:val="00903E73"/>
    <w:rsid w:val="009154EA"/>
    <w:rsid w:val="0092725D"/>
    <w:rsid w:val="00932147"/>
    <w:rsid w:val="009444E3"/>
    <w:rsid w:val="00947E96"/>
    <w:rsid w:val="00950B43"/>
    <w:rsid w:val="0095636B"/>
    <w:rsid w:val="00962FA4"/>
    <w:rsid w:val="009633F2"/>
    <w:rsid w:val="00964E5B"/>
    <w:rsid w:val="00966327"/>
    <w:rsid w:val="00976E9A"/>
    <w:rsid w:val="00983031"/>
    <w:rsid w:val="00987F7E"/>
    <w:rsid w:val="00993B5C"/>
    <w:rsid w:val="009949F1"/>
    <w:rsid w:val="00995897"/>
    <w:rsid w:val="009B4C76"/>
    <w:rsid w:val="009C37E3"/>
    <w:rsid w:val="009C4353"/>
    <w:rsid w:val="009D08C9"/>
    <w:rsid w:val="009E6157"/>
    <w:rsid w:val="009F75B7"/>
    <w:rsid w:val="00A01494"/>
    <w:rsid w:val="00A143AD"/>
    <w:rsid w:val="00A42BFD"/>
    <w:rsid w:val="00A42F05"/>
    <w:rsid w:val="00A46672"/>
    <w:rsid w:val="00A71AAA"/>
    <w:rsid w:val="00A86B9C"/>
    <w:rsid w:val="00A94936"/>
    <w:rsid w:val="00AD4F5C"/>
    <w:rsid w:val="00AD696D"/>
    <w:rsid w:val="00AE6EFE"/>
    <w:rsid w:val="00B045A9"/>
    <w:rsid w:val="00B071CC"/>
    <w:rsid w:val="00B20576"/>
    <w:rsid w:val="00B33AC5"/>
    <w:rsid w:val="00B33F12"/>
    <w:rsid w:val="00B43437"/>
    <w:rsid w:val="00B47970"/>
    <w:rsid w:val="00B73C2A"/>
    <w:rsid w:val="00B742A9"/>
    <w:rsid w:val="00B74D5A"/>
    <w:rsid w:val="00B8078E"/>
    <w:rsid w:val="00B84797"/>
    <w:rsid w:val="00BB15E0"/>
    <w:rsid w:val="00BB7472"/>
    <w:rsid w:val="00BD0C7B"/>
    <w:rsid w:val="00BD1363"/>
    <w:rsid w:val="00BE3644"/>
    <w:rsid w:val="00BE38B2"/>
    <w:rsid w:val="00BF0884"/>
    <w:rsid w:val="00C01E92"/>
    <w:rsid w:val="00C24B16"/>
    <w:rsid w:val="00C25138"/>
    <w:rsid w:val="00C27B37"/>
    <w:rsid w:val="00C31233"/>
    <w:rsid w:val="00C61E99"/>
    <w:rsid w:val="00C70F9A"/>
    <w:rsid w:val="00CA2C07"/>
    <w:rsid w:val="00CB0B63"/>
    <w:rsid w:val="00CB44B6"/>
    <w:rsid w:val="00CD2D8A"/>
    <w:rsid w:val="00CD7873"/>
    <w:rsid w:val="00CE1567"/>
    <w:rsid w:val="00CF0D4A"/>
    <w:rsid w:val="00D1487F"/>
    <w:rsid w:val="00D22655"/>
    <w:rsid w:val="00D31F7A"/>
    <w:rsid w:val="00D4085D"/>
    <w:rsid w:val="00D4395E"/>
    <w:rsid w:val="00D53985"/>
    <w:rsid w:val="00D70B62"/>
    <w:rsid w:val="00D72CE6"/>
    <w:rsid w:val="00D92DF8"/>
    <w:rsid w:val="00DB1DD7"/>
    <w:rsid w:val="00DB5F48"/>
    <w:rsid w:val="00DC100B"/>
    <w:rsid w:val="00DD5CF7"/>
    <w:rsid w:val="00DE229E"/>
    <w:rsid w:val="00DE68D1"/>
    <w:rsid w:val="00DF39A2"/>
    <w:rsid w:val="00E14217"/>
    <w:rsid w:val="00E2591F"/>
    <w:rsid w:val="00E345AA"/>
    <w:rsid w:val="00E425B0"/>
    <w:rsid w:val="00E53360"/>
    <w:rsid w:val="00E6284F"/>
    <w:rsid w:val="00E6584F"/>
    <w:rsid w:val="00E92FE2"/>
    <w:rsid w:val="00EB0692"/>
    <w:rsid w:val="00EC781B"/>
    <w:rsid w:val="00EE3A13"/>
    <w:rsid w:val="00EE4026"/>
    <w:rsid w:val="00EF055F"/>
    <w:rsid w:val="00EF5CF3"/>
    <w:rsid w:val="00F22E4D"/>
    <w:rsid w:val="00F4377D"/>
    <w:rsid w:val="00F60EA2"/>
    <w:rsid w:val="00F74CCD"/>
    <w:rsid w:val="00FA2CE0"/>
    <w:rsid w:val="00FA4230"/>
    <w:rsid w:val="00FA4CA9"/>
    <w:rsid w:val="00FC53E4"/>
    <w:rsid w:val="00FD4F06"/>
    <w:rsid w:val="00FE3561"/>
    <w:rsid w:val="00FE3B82"/>
    <w:rsid w:val="00FE737D"/>
    <w:rsid w:val="00FF66C5"/>
    <w:rsid w:val="01E6784A"/>
    <w:rsid w:val="026D35E3"/>
    <w:rsid w:val="03B43911"/>
    <w:rsid w:val="04446C25"/>
    <w:rsid w:val="07740266"/>
    <w:rsid w:val="09084B56"/>
    <w:rsid w:val="09595445"/>
    <w:rsid w:val="099313A0"/>
    <w:rsid w:val="0ACF2150"/>
    <w:rsid w:val="0B8D469C"/>
    <w:rsid w:val="0C760D91"/>
    <w:rsid w:val="0C830C6E"/>
    <w:rsid w:val="0DFA54E0"/>
    <w:rsid w:val="0E094ACC"/>
    <w:rsid w:val="10223F00"/>
    <w:rsid w:val="11616EB2"/>
    <w:rsid w:val="129A506E"/>
    <w:rsid w:val="1320650C"/>
    <w:rsid w:val="17A43F55"/>
    <w:rsid w:val="18505CDB"/>
    <w:rsid w:val="187A30C5"/>
    <w:rsid w:val="1A907A91"/>
    <w:rsid w:val="1D462803"/>
    <w:rsid w:val="1EBE1110"/>
    <w:rsid w:val="20CA1E4B"/>
    <w:rsid w:val="23897F39"/>
    <w:rsid w:val="2523375D"/>
    <w:rsid w:val="262D583E"/>
    <w:rsid w:val="29BB3E45"/>
    <w:rsid w:val="2B885DEF"/>
    <w:rsid w:val="2C0B5DF6"/>
    <w:rsid w:val="2CE73B02"/>
    <w:rsid w:val="31843215"/>
    <w:rsid w:val="375C2570"/>
    <w:rsid w:val="3AE45AB8"/>
    <w:rsid w:val="3AE72CC2"/>
    <w:rsid w:val="3E2D68EA"/>
    <w:rsid w:val="3FC2074A"/>
    <w:rsid w:val="3FC46111"/>
    <w:rsid w:val="3FD1793C"/>
    <w:rsid w:val="40DC2176"/>
    <w:rsid w:val="41332BBE"/>
    <w:rsid w:val="44ED6608"/>
    <w:rsid w:val="45E027A9"/>
    <w:rsid w:val="4A92591E"/>
    <w:rsid w:val="4C640690"/>
    <w:rsid w:val="4C6D7F27"/>
    <w:rsid w:val="4DC304E6"/>
    <w:rsid w:val="4DDF7015"/>
    <w:rsid w:val="50156D55"/>
    <w:rsid w:val="50B759A4"/>
    <w:rsid w:val="512B4212"/>
    <w:rsid w:val="523B5871"/>
    <w:rsid w:val="53F827BC"/>
    <w:rsid w:val="571E33D3"/>
    <w:rsid w:val="59B241EC"/>
    <w:rsid w:val="5BA40092"/>
    <w:rsid w:val="600032DC"/>
    <w:rsid w:val="616F4A80"/>
    <w:rsid w:val="690C2A9D"/>
    <w:rsid w:val="69F01628"/>
    <w:rsid w:val="6BC6531C"/>
    <w:rsid w:val="6D5F60D1"/>
    <w:rsid w:val="6EA150E1"/>
    <w:rsid w:val="6FEA1A68"/>
    <w:rsid w:val="71C36ECD"/>
    <w:rsid w:val="725E663B"/>
    <w:rsid w:val="726B0B21"/>
    <w:rsid w:val="733A2164"/>
    <w:rsid w:val="767A3038"/>
    <w:rsid w:val="78D33AD3"/>
    <w:rsid w:val="79EE7ABE"/>
    <w:rsid w:val="7A826731"/>
    <w:rsid w:val="7CD83865"/>
    <w:rsid w:val="7CF4204E"/>
    <w:rsid w:val="7D092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9"/>
    <w:autoRedefine/>
    <w:qFormat/>
    <w:uiPriority w:val="9"/>
    <w:pPr>
      <w:overflowPunct w:val="0"/>
      <w:spacing w:before="100" w:beforeAutospacing="1" w:after="100" w:afterAutospacing="1" w:line="600" w:lineRule="exact"/>
      <w:jc w:val="center"/>
      <w:textAlignment w:val="center"/>
      <w:outlineLvl w:val="0"/>
    </w:pPr>
    <w:rPr>
      <w:rFonts w:ascii="黑体" w:hAnsi="黑体" w:eastAsia="黑体"/>
      <w:b/>
      <w:sz w:val="36"/>
      <w:szCs w:val="36"/>
    </w:rPr>
  </w:style>
  <w:style w:type="paragraph" w:styleId="4">
    <w:name w:val="heading 2"/>
    <w:basedOn w:val="1"/>
    <w:next w:val="1"/>
    <w:link w:val="20"/>
    <w:autoRedefine/>
    <w:unhideWhenUsed/>
    <w:qFormat/>
    <w:uiPriority w:val="9"/>
    <w:pPr>
      <w:widowControl/>
      <w:adjustRightInd w:val="0"/>
      <w:snapToGrid w:val="0"/>
      <w:spacing w:before="100" w:beforeAutospacing="1" w:after="100" w:afterAutospacing="1" w:line="600" w:lineRule="exact"/>
      <w:ind w:firstLine="643" w:firstLineChars="200"/>
      <w:outlineLvl w:val="1"/>
    </w:pPr>
    <w:rPr>
      <w:rFonts w:ascii="黑体" w:hAnsi="黑体" w:eastAsia="黑体"/>
      <w:b/>
      <w:sz w:val="32"/>
      <w:szCs w:val="32"/>
    </w:rPr>
  </w:style>
  <w:style w:type="paragraph" w:styleId="5">
    <w:name w:val="heading 3"/>
    <w:basedOn w:val="1"/>
    <w:next w:val="1"/>
    <w:link w:val="21"/>
    <w:autoRedefine/>
    <w:unhideWhenUsed/>
    <w:qFormat/>
    <w:uiPriority w:val="9"/>
    <w:pPr>
      <w:spacing w:line="600" w:lineRule="exact"/>
      <w:ind w:firstLine="643" w:firstLineChars="200"/>
      <w:outlineLvl w:val="2"/>
    </w:pPr>
    <w:rPr>
      <w:rFonts w:ascii="仿宋_GB2312" w:hAnsi="仿宋" w:eastAsia="仿宋_GB2312"/>
      <w:b/>
      <w:sz w:val="32"/>
      <w:szCs w:val="32"/>
    </w:rPr>
  </w:style>
  <w:style w:type="character" w:default="1" w:styleId="13">
    <w:name w:val="Default Paragraph Font"/>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rPr>
      <w:sz w:val="32"/>
    </w:rPr>
  </w:style>
  <w:style w:type="paragraph" w:styleId="6">
    <w:name w:val="Balloon Text"/>
    <w:basedOn w:val="1"/>
    <w:link w:val="18"/>
    <w:autoRedefine/>
    <w:unhideWhenUsed/>
    <w:qFormat/>
    <w:uiPriority w:val="99"/>
    <w:rPr>
      <w:sz w:val="18"/>
      <w:szCs w:val="18"/>
    </w:rPr>
  </w:style>
  <w:style w:type="paragraph" w:styleId="7">
    <w:name w:val="footer"/>
    <w:basedOn w:val="1"/>
    <w:link w:val="16"/>
    <w:autoRedefine/>
    <w:unhideWhenUsed/>
    <w:qFormat/>
    <w:uiPriority w:val="99"/>
    <w:pPr>
      <w:tabs>
        <w:tab w:val="center" w:pos="4153"/>
        <w:tab w:val="right" w:pos="8306"/>
      </w:tabs>
      <w:snapToGrid w:val="0"/>
      <w:jc w:val="left"/>
    </w:pPr>
    <w:rPr>
      <w:sz w:val="18"/>
      <w:szCs w:val="18"/>
    </w:rPr>
  </w:style>
  <w:style w:type="paragraph" w:styleId="8">
    <w:name w:val="header"/>
    <w:basedOn w:val="1"/>
    <w:link w:val="1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25"/>
    <w:autoRedefine/>
    <w:unhideWhenUsed/>
    <w:qFormat/>
    <w:uiPriority w:val="99"/>
    <w:pPr>
      <w:snapToGrid w:val="0"/>
      <w:jc w:val="left"/>
    </w:pPr>
    <w:rPr>
      <w:sz w:val="18"/>
      <w:szCs w:val="18"/>
    </w:rPr>
  </w:style>
  <w:style w:type="paragraph" w:styleId="10">
    <w:name w:val="Normal (Web)"/>
    <w:basedOn w:val="1"/>
    <w:autoRedefine/>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2">
    <w:name w:val="Table Grid"/>
    <w:basedOn w:val="11"/>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otnote reference"/>
    <w:basedOn w:val="13"/>
    <w:autoRedefine/>
    <w:unhideWhenUsed/>
    <w:qFormat/>
    <w:uiPriority w:val="99"/>
    <w:rPr>
      <w:vertAlign w:val="superscript"/>
    </w:rPr>
  </w:style>
  <w:style w:type="character" w:customStyle="1" w:styleId="15">
    <w:name w:val="页眉 字符"/>
    <w:basedOn w:val="13"/>
    <w:link w:val="8"/>
    <w:autoRedefine/>
    <w:qFormat/>
    <w:uiPriority w:val="99"/>
    <w:rPr>
      <w:sz w:val="18"/>
      <w:szCs w:val="18"/>
    </w:rPr>
  </w:style>
  <w:style w:type="character" w:customStyle="1" w:styleId="16">
    <w:name w:val="页脚 字符"/>
    <w:basedOn w:val="13"/>
    <w:link w:val="7"/>
    <w:autoRedefine/>
    <w:qFormat/>
    <w:uiPriority w:val="99"/>
    <w:rPr>
      <w:sz w:val="18"/>
      <w:szCs w:val="18"/>
    </w:rPr>
  </w:style>
  <w:style w:type="paragraph" w:customStyle="1" w:styleId="17">
    <w:name w:val="列表段落1"/>
    <w:basedOn w:val="1"/>
    <w:autoRedefine/>
    <w:qFormat/>
    <w:uiPriority w:val="34"/>
    <w:pPr>
      <w:ind w:firstLine="420" w:firstLineChars="200"/>
    </w:pPr>
  </w:style>
  <w:style w:type="character" w:customStyle="1" w:styleId="18">
    <w:name w:val="批注框文本 字符"/>
    <w:basedOn w:val="13"/>
    <w:link w:val="6"/>
    <w:autoRedefine/>
    <w:semiHidden/>
    <w:qFormat/>
    <w:uiPriority w:val="99"/>
    <w:rPr>
      <w:sz w:val="18"/>
      <w:szCs w:val="18"/>
    </w:rPr>
  </w:style>
  <w:style w:type="character" w:customStyle="1" w:styleId="19">
    <w:name w:val="标题 1 字符"/>
    <w:basedOn w:val="13"/>
    <w:link w:val="3"/>
    <w:autoRedefine/>
    <w:qFormat/>
    <w:uiPriority w:val="9"/>
    <w:rPr>
      <w:rFonts w:ascii="黑体" w:hAnsi="黑体" w:eastAsia="黑体"/>
      <w:b/>
      <w:sz w:val="36"/>
      <w:szCs w:val="36"/>
    </w:rPr>
  </w:style>
  <w:style w:type="character" w:customStyle="1" w:styleId="20">
    <w:name w:val="标题 2 字符"/>
    <w:basedOn w:val="13"/>
    <w:link w:val="4"/>
    <w:autoRedefine/>
    <w:qFormat/>
    <w:uiPriority w:val="9"/>
    <w:rPr>
      <w:rFonts w:ascii="黑体" w:hAnsi="黑体" w:eastAsia="黑体"/>
      <w:b/>
      <w:sz w:val="32"/>
      <w:szCs w:val="32"/>
    </w:rPr>
  </w:style>
  <w:style w:type="character" w:customStyle="1" w:styleId="21">
    <w:name w:val="标题 3 字符"/>
    <w:basedOn w:val="13"/>
    <w:link w:val="5"/>
    <w:qFormat/>
    <w:uiPriority w:val="9"/>
    <w:rPr>
      <w:rFonts w:ascii="仿宋_GB2312" w:hAnsi="仿宋" w:eastAsia="仿宋_GB2312"/>
      <w:b/>
      <w:sz w:val="32"/>
      <w:szCs w:val="32"/>
    </w:rPr>
  </w:style>
  <w:style w:type="paragraph" w:customStyle="1" w:styleId="22">
    <w:name w:val="样式1"/>
    <w:basedOn w:val="1"/>
    <w:link w:val="23"/>
    <w:qFormat/>
    <w:uiPriority w:val="0"/>
    <w:pPr>
      <w:spacing w:line="600" w:lineRule="exact"/>
      <w:ind w:firstLine="643" w:firstLineChars="200"/>
    </w:pPr>
    <w:rPr>
      <w:rFonts w:ascii="仿宋_GB2312" w:eastAsia="仿宋_GB2312"/>
      <w:sz w:val="32"/>
      <w:szCs w:val="32"/>
    </w:rPr>
  </w:style>
  <w:style w:type="character" w:customStyle="1" w:styleId="23">
    <w:name w:val="样式1 字符"/>
    <w:basedOn w:val="13"/>
    <w:link w:val="22"/>
    <w:qFormat/>
    <w:uiPriority w:val="0"/>
    <w:rPr>
      <w:rFonts w:ascii="仿宋_GB2312" w:eastAsia="仿宋_GB2312"/>
      <w:sz w:val="32"/>
      <w:szCs w:val="32"/>
    </w:rPr>
  </w:style>
  <w:style w:type="character" w:customStyle="1" w:styleId="24">
    <w:name w:val="明显强调1"/>
    <w:basedOn w:val="13"/>
    <w:qFormat/>
    <w:uiPriority w:val="21"/>
    <w:rPr>
      <w:i/>
      <w:iCs/>
      <w:color w:val="4472C4" w:themeColor="accent1"/>
      <w14:textFill>
        <w14:solidFill>
          <w14:schemeClr w14:val="accent1"/>
        </w14:solidFill>
      </w14:textFill>
    </w:rPr>
  </w:style>
  <w:style w:type="character" w:customStyle="1" w:styleId="25">
    <w:name w:val="脚注文本 字符"/>
    <w:basedOn w:val="13"/>
    <w:link w:val="9"/>
    <w:semiHidden/>
    <w:qFormat/>
    <w:uiPriority w:val="99"/>
    <w:rPr>
      <w:sz w:val="18"/>
      <w:szCs w:val="18"/>
    </w:rPr>
  </w:style>
  <w:style w:type="character" w:customStyle="1" w:styleId="26">
    <w:name w:val="UserStyle_0"/>
    <w:semiHidden/>
    <w:qFormat/>
    <w:uiPriority w:val="0"/>
    <w:rPr>
      <w:rFonts w:ascii="Calibri" w:hAnsi="Calibri" w:eastAsia="宋体" w:cs="Times New Roman"/>
      <w:kern w:val="2"/>
      <w:sz w:val="21"/>
      <w:szCs w:val="24"/>
      <w:lang w:val="en-US" w:eastAsia="zh-CN" w:bidi="ar-SA"/>
    </w:rPr>
  </w:style>
  <w:style w:type="paragraph" w:styleId="27">
    <w:name w:val="List Paragraph"/>
    <w:basedOn w:val="1"/>
    <w:qFormat/>
    <w:uiPriority w:val="34"/>
    <w:pPr>
      <w:ind w:firstLine="420" w:firstLineChars="200"/>
    </w:pPr>
  </w:style>
  <w:style w:type="paragraph" w:customStyle="1" w:styleId="28">
    <w:name w:val="p0"/>
    <w:basedOn w:val="1"/>
    <w:qFormat/>
    <w:uiPriority w:val="0"/>
    <w:pPr>
      <w:spacing w:before="0" w:beforeAutospacing="0" w:after="0" w:afterAutospacing="0"/>
      <w:ind w:left="0" w:right="0"/>
      <w:jc w:val="left"/>
    </w:pPr>
    <w:rPr>
      <w:rFonts w:hint="eastAsia" w:ascii="宋体" w:hAns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44</Pages>
  <Words>3755</Words>
  <Characters>21405</Characters>
  <Lines>178</Lines>
  <Paragraphs>50</Paragraphs>
  <TotalTime>21</TotalTime>
  <ScaleCrop>false</ScaleCrop>
  <LinksUpToDate>false</LinksUpToDate>
  <CharactersWithSpaces>25110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2020-07-05T01:32:00Z</dcterms:created>
  <dc:creator>陈 江芸</dc:creator>
  <cp:lastModifiedBy>可惜没如果.</cp:lastModifiedBy>
  <cp:lastPrinted>2020-10-13T00:43:00Z</cp:lastPrinted>
  <dcterms:modified xsi:type="dcterms:W3CDTF">2024-03-20T01:32:31Z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A36A9A8966DB434F878C0DA84205B4EC</vt:lpwstr>
  </property>
</Properties>
</file>